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Senior Engineer with 4+ years’ experience building scalable, resilient distributed systems using Java, Spring Boot,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Azure. Proven ability to design REST APIs, implement DevOps practices, and mentor engineering teams. Expertise in </w:t>
      </w:r>
      <w:r>
        <w:rPr>
          <w:rFonts w:ascii="CMR10" w:hAnsi="CMR10" w:eastAsia="CMR10"/>
          <w:b w:val="0"/>
          <w:i w:val="0"/>
          <w:color w:val="000000"/>
          <w:sz w:val="20"/>
        </w:rPr>
        <w:t>microservices architecture and cloud technologies.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7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16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Engineer</w:t>
            </w:r>
          </w:p>
        </w:tc>
        <w:tc>
          <w:tcPr>
            <w:tcW w:type="dxa" w:w="50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3822" w:right="0" w:hanging="50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New York, NY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2020-Present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3 microservices using Spring Boot, resulting in a 20% reduction in system latency.</w:t>
      </w:r>
    </w:p>
    <w:p>
      <w:pPr>
        <w:autoSpaceDN w:val="0"/>
        <w:tabs>
          <w:tab w:pos="700" w:val="left"/>
        </w:tabs>
        <w:autoSpaceDE w:val="0"/>
        <w:widowControl/>
        <w:spacing w:line="248" w:lineRule="exact" w:before="1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a team of 4 engineers in migrating a legacy application to Azure, improving scalability by 50%.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Mentored junior engineers on best practices in software development and DevOps, leading to a 15% increase in </w:t>
      </w:r>
      <w:r>
        <w:rPr>
          <w:rFonts w:ascii="CMR10" w:hAnsi="CMR10" w:eastAsia="CMR10"/>
          <w:b w:val="0"/>
          <w:i w:val="0"/>
          <w:color w:val="000000"/>
          <w:sz w:val="20"/>
        </w:rPr>
        <w:t>team efficiency.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4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GEICO Claims Processing System Modernization</w:t>
            </w:r>
          </w:p>
        </w:tc>
        <w:tc>
          <w:tcPr>
            <w:tcW w:type="dxa" w:w="33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Migrated legacy claims processing system to a microservices architecture on Azure, improving processing speed by </w:t>
      </w:r>
      <w:r>
        <w:rPr>
          <w:rFonts w:ascii="CMR10" w:hAnsi="CMR10" w:eastAsia="CMR10"/>
          <w:b w:val="0"/>
          <w:i w:val="0"/>
          <w:color w:val="000000"/>
          <w:sz w:val="20"/>
        </w:rPr>
        <w:t>30% and reducing errors by 15%.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RESTful APIs for seamless integration with other GEICO systems, enhancing customer experience and </w:t>
      </w:r>
      <w:r>
        <w:rPr>
          <w:rFonts w:ascii="CMR10" w:hAnsi="CMR10" w:eastAsia="CMR10"/>
          <w:b w:val="0"/>
          <w:i w:val="0"/>
          <w:color w:val="000000"/>
          <w:sz w:val="20"/>
        </w:rPr>
        <w:t>operational efficiency.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protocols (Active Directory, SAML, OAuth) to protect sensitive customer data, </w:t>
      </w:r>
      <w:r>
        <w:rPr>
          <w:rFonts w:ascii="CMR10" w:hAnsi="CMR10" w:eastAsia="CMR10"/>
          <w:b w:val="0"/>
          <w:i w:val="0"/>
          <w:color w:val="000000"/>
          <w:sz w:val="20"/>
        </w:rPr>
        <w:t>ensuring compliance with industry standards.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High-Availability Web Application for Customer Portal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2021-2022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and implemented a high-availability web application using Java, Spring Boot, and Kubernetes on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Azure.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uptime by 99.99%, exceeding customer expectations for service reliability.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comprehensive application monitoring and performance assessment tools, enabling proactive issue </w:t>
      </w:r>
      <w:r>
        <w:rPr>
          <w:rFonts w:ascii="CMR10" w:hAnsi="CMR10" w:eastAsia="CMR10"/>
          <w:b w:val="0"/>
          <w:i w:val="0"/>
          <w:color w:val="000000"/>
          <w:sz w:val="20"/>
        </w:rPr>
        <w:t>detection and resolution.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DevOps Pipeline Implementation for Continuous Delivery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2020-2021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CI/CD pipeline using Azure DevOps, reducing deployment time by 75% and improving software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 frequency.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infrastructure as code (IaC) to automate infrastructure provisioning and management, enhancing </w:t>
      </w:r>
      <w:r>
        <w:rPr>
          <w:rFonts w:ascii="CMR10" w:hAnsi="CMR10" w:eastAsia="CMR10"/>
          <w:b w:val="0"/>
          <w:i w:val="0"/>
          <w:color w:val="000000"/>
          <w:sz w:val="20"/>
        </w:rPr>
        <w:t>scalability and reducing operational overhead.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automated testing strategies, resulting in a 20% reduction in production bugs.</w:t>
      </w:r>
    </w:p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