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sjdhfl;kjasdlj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4.0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42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462" w:firstLine="0"/>
              <w:jc w:val="righ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9375678888</w:t>
            </w:r>
          </w:p>
        </w:tc>
        <w:tc>
          <w:tcPr>
            <w:tcW w:type="dxa" w:w="163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testing@gmail.com</w:t>
            </w:r>
          </w:p>
        </w:tc>
        <w:tc>
          <w:tcPr>
            <w:tcW w:type="dxa" w:w="1902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</w:t>
            </w:r>
          </w:p>
        </w:tc>
        <w:tc>
          <w:tcPr>
            <w:tcW w:type="dxa" w:w="214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4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8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Data-driven analyst with proven ability to source, compile, and interpret data to produce insightful reports. Proficient in </w:t>
      </w:r>
      <w:r>
        <w:rPr>
          <w:rFonts w:ascii="CMR10" w:hAnsi="CMR10" w:eastAsia="CMR10"/>
          <w:b w:val="0"/>
          <w:i w:val="0"/>
          <w:color w:val="000000"/>
          <w:sz w:val="20"/>
        </w:rPr>
        <w:t>data analysis techniques and adept at presenting findings to stakeholders. Seeking to leverage skills in a challenging role.</w:t>
      </w:r>
    </w:p>
    <w:p>
      <w:pPr>
        <w:autoSpaceDN w:val="0"/>
        <w:autoSpaceDE w:val="0"/>
        <w:widowControl/>
        <w:spacing w:line="180" w:lineRule="exact" w:before="16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2"/>
        </w:trPr>
        <w:tc>
          <w:tcPr>
            <w:tcW w:type="dxa" w:w="54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144" w:right="3312" w:firstLine="0"/>
              <w:jc w:val="center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sdhfkljsdahfjksha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jhdfjklhasjkhdfkljhasd</w:t>
            </w:r>
          </w:p>
        </w:tc>
        <w:tc>
          <w:tcPr>
            <w:tcW w:type="dxa" w:w="53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4392" w:right="0" w:hanging="972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jhdkljfhkljshdfkj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hkdjhfsha</w:t>
            </w:r>
          </w:p>
        </w:tc>
      </w:tr>
    </w:tbl>
    <w:p>
      <w:pPr>
        <w:autoSpaceDN w:val="0"/>
        <w:autoSpaceDE w:val="0"/>
        <w:widowControl/>
        <w:spacing w:line="224" w:lineRule="exact" w:before="2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hjksdfhkjshdfkjhasdjkfhkjasdhfkjasdhfkljsdhakfbksdjahfjksdh</w:t>
      </w:r>
    </w:p>
    <w:p>
      <w:pPr>
        <w:autoSpaceDN w:val="0"/>
        <w:autoSpaceDE w:val="0"/>
        <w:widowControl/>
        <w:spacing w:line="180" w:lineRule="exact" w:before="156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16"/>
        </w:trPr>
        <w:tc>
          <w:tcPr>
            <w:tcW w:type="dxa" w:w="53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220" w:right="3024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Company </w:t>
            </w:r>
            <w:r>
              <w:br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Data Analyst</w:t>
            </w:r>
          </w:p>
        </w:tc>
        <w:tc>
          <w:tcPr>
            <w:tcW w:type="dxa" w:w="54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98" w:val="left"/>
              </w:tabs>
              <w:autoSpaceDE w:val="0"/>
              <w:widowControl/>
              <w:spacing w:line="266" w:lineRule="exact" w:before="48" w:after="0"/>
              <w:ind w:left="309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Example City, State </w:t>
            </w:r>
            <w:r>
              <w:br/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2020-2023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18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maintained 5 key performance indicator (KPI) dashboards, resulting in a 10% improvement in </w:t>
      </w:r>
      <w:r>
        <w:rPr>
          <w:rFonts w:ascii="CMR10" w:hAnsi="CMR10" w:eastAsia="CMR10"/>
          <w:b w:val="0"/>
          <w:i w:val="0"/>
          <w:color w:val="000000"/>
          <w:sz w:val="20"/>
        </w:rPr>
        <w:t>operational efficiency.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129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Conducted in-depth data analysis using SQL and Python, identifying trends that informed strategic </w:t>
      </w:r>
      <w:r>
        <w:rPr>
          <w:rFonts w:ascii="CMR10" w:hAnsi="CMR10" w:eastAsia="CMR10"/>
          <w:b w:val="0"/>
          <w:i w:val="0"/>
          <w:color w:val="000000"/>
          <w:sz w:val="20"/>
        </w:rPr>
        <w:t>decision-making.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22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cross-functional teams to gather data requirements and translate them into actionable reports, </w:t>
      </w:r>
      <w:r>
        <w:rPr>
          <w:rFonts w:ascii="CMR10" w:hAnsi="CMR10" w:eastAsia="CMR10"/>
          <w:b w:val="0"/>
          <w:i w:val="0"/>
          <w:color w:val="000000"/>
          <w:sz w:val="20"/>
        </w:rPr>
        <w:t>delivered 20+ reports monthly to stakeholders</w:t>
      </w:r>
    </w:p>
    <w:p>
      <w:pPr>
        <w:autoSpaceDN w:val="0"/>
        <w:autoSpaceDE w:val="0"/>
        <w:widowControl/>
        <w:spacing w:line="178" w:lineRule="exact" w:before="17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82"/>
        </w:trPr>
        <w:tc>
          <w:tcPr>
            <w:tcW w:type="dxa" w:w="65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Sales Performance Analysis</w:t>
            </w:r>
          </w:p>
        </w:tc>
        <w:tc>
          <w:tcPr>
            <w:tcW w:type="dxa" w:w="42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2022</w:t>
            </w:r>
          </w:p>
        </w:tc>
      </w:tr>
    </w:tbl>
    <w:p>
      <w:pPr>
        <w:autoSpaceDN w:val="0"/>
        <w:autoSpaceDE w:val="0"/>
        <w:widowControl/>
        <w:spacing w:line="254" w:lineRule="exact" w:before="0" w:after="0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Analyzed sales data from multiple sources (CRM, ERP) to identify top-performing products and regions.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predictive model using machine learning to forecast future sales with 90% accuracy.</w:t>
      </w:r>
    </w:p>
    <w:p>
      <w:pPr>
        <w:autoSpaceDN w:val="0"/>
        <w:tabs>
          <w:tab w:pos="700" w:val="left"/>
        </w:tabs>
        <w:autoSpaceDE w:val="0"/>
        <w:widowControl/>
        <w:spacing w:line="240" w:lineRule="exact" w:before="18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Presented findings and recommendations to executive leadership resulting in a 15% increase in sales strategy </w:t>
      </w:r>
      <w:r>
        <w:rPr>
          <w:rFonts w:ascii="CMR10" w:hAnsi="CMR10" w:eastAsia="CMR10"/>
          <w:b w:val="0"/>
          <w:i w:val="0"/>
          <w:color w:val="000000"/>
          <w:sz w:val="20"/>
        </w:rPr>
        <w:t>efficacy.</w:t>
      </w:r>
    </w:p>
    <w:p>
      <w:pPr>
        <w:autoSpaceDN w:val="0"/>
        <w:tabs>
          <w:tab w:pos="514" w:val="left"/>
          <w:tab w:pos="10220" w:val="left"/>
        </w:tabs>
        <w:autoSpaceDE w:val="0"/>
        <w:widowControl/>
        <w:spacing w:line="27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Customer Churn Prediction </w:t>
      </w:r>
      <w:r>
        <w:rPr>
          <w:rFonts w:ascii="CMTI10" w:hAnsi="CMTI10" w:eastAsia="CMTI10"/>
          <w:b w:val="0"/>
          <w:i/>
          <w:color w:val="000000"/>
          <w:sz w:val="22"/>
        </w:rPr>
        <w:t>2021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Built a predictive model to identify at-risk customers using statistical modeling techniques (logistic regression).</w:t>
      </w:r>
    </w:p>
    <w:p>
      <w:pPr>
        <w:autoSpaceDN w:val="0"/>
        <w:autoSpaceDE w:val="0"/>
        <w:widowControl/>
        <w:spacing w:line="25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Reduced customer churn rate by 5% through targeted retention strategies based on model predictions.</w:t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customer satisfaction scores by 10% via enhanced communication based on identified customer needs.</w:t>
      </w:r>
    </w:p>
    <w:p>
      <w:pPr>
        <w:autoSpaceDN w:val="0"/>
        <w:tabs>
          <w:tab w:pos="514" w:val="left"/>
          <w:tab w:pos="700" w:val="left"/>
          <w:tab w:pos="10220" w:val="left"/>
        </w:tabs>
        <w:autoSpaceDE w:val="0"/>
        <w:widowControl/>
        <w:spacing w:line="26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Marketing Campaign Optimization </w:t>
      </w:r>
      <w:r>
        <w:rPr>
          <w:rFonts w:ascii="CMTI10" w:hAnsi="CMTI10" w:eastAsia="CMTI10"/>
          <w:b w:val="0"/>
          <w:i/>
          <w:color w:val="000000"/>
          <w:sz w:val="22"/>
        </w:rPr>
        <w:t>2020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Analyzed marketing campaign data to identify key drivers of campaign success and areas for improvement.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Optimized marketing campaigns, increasing conversion rates by 8% through targeted ad spend and refined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messaging.</w:t>
      </w:r>
    </w:p>
    <w:p>
      <w:pPr>
        <w:autoSpaceDN w:val="0"/>
        <w:autoSpaceDE w:val="0"/>
        <w:widowControl/>
        <w:spacing w:line="220" w:lineRule="exact" w:before="38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return on investment (ROI) for marketing campaigns by 12% based on data-driven optimizations.</w:t>
      </w:r>
    </w:p>
    <w:p>
      <w:pPr>
        <w:autoSpaceDN w:val="0"/>
        <w:autoSpaceDE w:val="0"/>
        <w:widowControl/>
        <w:spacing w:line="178" w:lineRule="exact" w:before="176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200" w:lineRule="exact" w:before="152" w:after="0"/>
        <w:ind w:left="220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jksdfhjksadhfk: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hkjdfkjashdfjkhds</w:t>
      </w:r>
    </w:p>
    <w:sectPr w:rsidR="00FC693F" w:rsidRPr="0006063C" w:rsidSect="00034616">
      <w:pgSz w:w="12240" w:h="15840"/>
      <w:pgMar w:top="358" w:right="696" w:bottom="1440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