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78" w:lineRule="exact" w:before="17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14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Full-Stack Java Developer with 3+ years of experience seeking a Python Developer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II position. Proven ability to develop and maintain software, leveraging object-oriented programming principles in Java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contributing to software optimization and continuous improvement. Eager to apply expertise in scalable data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application design and cloud technologies (AWS) to build robust, testable, and efficient Python applications, integrating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CI/CD pipelines and utilizing technologies such as Docker, Kubernetes, and various data libraries (Pandas, </w:t>
      </w:r>
      <w:r>
        <w:rPr>
          <w:rFonts w:ascii="CMR10" w:hAnsi="CMR10" w:eastAsia="CMR10"/>
          <w:b w:val="0"/>
          <w:i w:val="0"/>
          <w:color w:val="000000"/>
          <w:sz w:val="20"/>
        </w:rPr>
        <w:t>NumPy). Strong problem-solving skills and experience working collaboratively within a team.</w:t>
      </w:r>
    </w:p>
    <w:p>
      <w:pPr>
        <w:autoSpaceDN w:val="0"/>
        <w:autoSpaceDE w:val="0"/>
        <w:widowControl/>
        <w:spacing w:line="180" w:lineRule="exact" w:before="66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176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4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176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7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176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20" w:lineRule="exact" w:before="2" w:after="44"/>
        <w:ind w:left="4" w:right="288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 </w:t>
      </w: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598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6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full-stack Java applications, contributing to significant improvements in system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 and scalability.</w:t>
      </w:r>
    </w:p>
    <w:p>
      <w:pPr>
        <w:autoSpaceDN w:val="0"/>
        <w:autoSpaceDE w:val="0"/>
        <w:widowControl/>
        <w:spacing w:line="220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design, implement, and test new features and functionalities.</w:t>
      </w:r>
    </w:p>
    <w:p>
      <w:pPr>
        <w:autoSpaceDN w:val="0"/>
        <w:tabs>
          <w:tab w:pos="700" w:val="left"/>
        </w:tabs>
        <w:autoSpaceDE w:val="0"/>
        <w:widowControl/>
        <w:spacing w:line="234" w:lineRule="exact" w:before="0" w:after="84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resolved critical software bugs and implemented solutions to prevent future occurrences.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agile methodologies to manage projects efficiently and deliver high-quality results on time and within </w:t>
      </w:r>
      <w:r>
        <w:rPr>
          <w:rFonts w:ascii="CMR10" w:hAnsi="CMR10" w:eastAsia="CMR10"/>
          <w:b w:val="0"/>
          <w:i w:val="0"/>
          <w:color w:val="000000"/>
          <w:sz w:val="20"/>
        </w:rPr>
        <w:t>budget.</w:t>
      </w:r>
    </w:p>
    <w:p>
      <w:pPr>
        <w:sectPr>
          <w:type w:val="continuous"/>
          <w:pgSz w:w="12240" w:h="15840"/>
          <w:pgMar w:top="358" w:right="696" w:bottom="176" w:left="716" w:header="720" w:footer="720" w:gutter="0"/>
          <w:cols/>
          <w:docGrid w:linePitch="360"/>
        </w:sectPr>
      </w:pPr>
    </w:p>
    <w:p>
      <w:pPr>
        <w:autoSpaceDN w:val="0"/>
        <w:tabs>
          <w:tab w:pos="220" w:val="left"/>
          <w:tab w:pos="514" w:val="left"/>
        </w:tabs>
        <w:autoSpaceDE w:val="0"/>
        <w:widowControl/>
        <w:spacing w:line="244" w:lineRule="exact" w:before="0" w:after="0"/>
        <w:ind w:left="4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  <w:r>
        <w:br/>
      </w:r>
      <w:r>
        <w:tab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am a good boy </w:t>
      </w:r>
      <w:r>
        <w:br/>
      </w: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p>
      <w:pPr>
        <w:sectPr>
          <w:type w:val="continuous"/>
          <w:pgSz w:w="12240" w:h="15840"/>
          <w:pgMar w:top="358" w:right="696" w:bottom="176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536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176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0"/>
        </w:trPr>
        <w:tc>
          <w:tcPr>
            <w:tcW w:type="dxa" w:w="62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Development</w:t>
            </w:r>
          </w:p>
        </w:tc>
        <w:tc>
          <w:tcPr>
            <w:tcW w:type="dxa" w:w="4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2022 - May 2022</w:t>
            </w:r>
          </w:p>
        </w:tc>
      </w:tr>
    </w:tbl>
    <w:p>
      <w:pPr>
        <w:autoSpaceDN w:val="0"/>
        <w:autoSpaceDE w:val="0"/>
        <w:widowControl/>
        <w:spacing w:line="224" w:lineRule="exact" w:before="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a scalable e-commerce platform using Java, Spring Boot, and React.</w:t>
      </w:r>
    </w:p>
    <w:p>
      <w:pPr>
        <w:autoSpaceDN w:val="0"/>
        <w:autoSpaceDE w:val="0"/>
        <w:widowControl/>
        <w:spacing w:line="230" w:lineRule="exact" w:before="2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robust payment gateway integration using Stripe, ensuring secure and reliable transactions.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RESTful APIs for seamless communication between the frontend and backend components.</w:t>
      </w:r>
    </w:p>
    <w:p>
      <w:pPr>
        <w:autoSpaceDN w:val="0"/>
        <w:tabs>
          <w:tab w:pos="514" w:val="left"/>
          <w:tab w:pos="8718" w:val="left"/>
        </w:tabs>
        <w:autoSpaceDE w:val="0"/>
        <w:widowControl/>
        <w:spacing w:line="232" w:lineRule="exact" w:before="0" w:after="0"/>
        <w:ind w:left="220" w:right="144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site performance by 20% by optimizing database queries and implementing caching mechanisms. 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Microservice Architecture Implementation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2021 - Feb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Migrated a monolithic application to a microservice architecture using Docker and Kubernetes.</w:t>
      </w:r>
    </w:p>
    <w:p>
      <w:pPr>
        <w:autoSpaceDN w:val="0"/>
        <w:autoSpaceDE w:val="0"/>
        <w:widowControl/>
        <w:spacing w:line="222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system scalability and resilience by deploying microservices on AWS ECS and Lambda.</w:t>
      </w:r>
    </w:p>
    <w:p>
      <w:pPr>
        <w:autoSpaceDN w:val="0"/>
        <w:autoSpaceDE w:val="0"/>
        <w:widowControl/>
        <w:spacing w:line="222" w:lineRule="exact" w:before="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CI/CD pipelines using Jenkins to automate the build, test, and deployment processes.</w:t>
      </w:r>
    </w:p>
    <w:p>
      <w:pPr>
        <w:autoSpaceDN w:val="0"/>
        <w:autoSpaceDE w:val="0"/>
        <w:widowControl/>
        <w:spacing w:line="220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deployment time by 50% through automation and improved infrastructure management.</w:t>
      </w:r>
    </w:p>
    <w:p>
      <w:pPr>
        <w:autoSpaceDN w:val="0"/>
        <w:tabs>
          <w:tab w:pos="514" w:val="left"/>
          <w:tab w:pos="8556" w:val="left"/>
        </w:tabs>
        <w:autoSpaceDE w:val="0"/>
        <w:widowControl/>
        <w:spacing w:line="232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Analytics Dashboard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June 2020 - Aug 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data analytics dashboard using Python, Pandas, and NumPy to visualize key business metrics.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dashboard with a PostgreSQL database to provide real-time data updates.</w:t>
      </w:r>
    </w:p>
    <w:p>
      <w:pPr>
        <w:autoSpaceDN w:val="0"/>
        <w:autoSpaceDE w:val="0"/>
        <w:widowControl/>
        <w:spacing w:line="222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interactive visualizations to facilitate data-driven decision-making.</w:t>
      </w:r>
    </w:p>
    <w:p>
      <w:pPr>
        <w:autoSpaceDN w:val="0"/>
        <w:autoSpaceDE w:val="0"/>
        <w:widowControl/>
        <w:spacing w:line="220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analysis efficiency by automating report generation and data visualization tasks.</w:t>
      </w:r>
    </w:p>
    <w:p>
      <w:pPr>
        <w:autoSpaceDN w:val="0"/>
        <w:autoSpaceDE w:val="0"/>
        <w:widowControl/>
        <w:spacing w:line="178" w:lineRule="exact" w:before="6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6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</w:t>
      </w:r>
    </w:p>
    <w:p>
      <w:pPr>
        <w:autoSpaceDN w:val="0"/>
        <w:autoSpaceDE w:val="0"/>
        <w:widowControl/>
        <w:spacing w:line="190" w:lineRule="exact" w:before="50" w:after="0"/>
        <w:ind w:left="220" w:right="46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80" w:lineRule="exact" w:before="22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170" w:lineRule="exact" w:before="180" w:after="0"/>
        <w:ind w:left="340" w:right="7200" w:hanging="8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type w:val="continuous"/>
      <w:pgSz w:w="12240" w:h="15840"/>
      <w:pgMar w:top="358" w:right="696" w:bottom="176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