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sjdhfl;kjasdlj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42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9375678888</w:t>
            </w:r>
          </w:p>
        </w:tc>
        <w:tc>
          <w:tcPr>
            <w:tcW w:type="dxa" w:w="163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testing@gmail.com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8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Senior Engineer with 4+ years of experience in building scalable, resilient distributed systems using Java, Spring Boot,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Azure. Proven ability to design REST APIs, implement DevOps practices, and mentor engineering teams. </w:t>
      </w:r>
      <w:r>
        <w:rPr>
          <w:rFonts w:ascii="CMR10" w:hAnsi="CMR10" w:eastAsia="CMR10"/>
          <w:b w:val="0"/>
          <w:i w:val="0"/>
          <w:color w:val="000000"/>
          <w:sz w:val="20"/>
        </w:rPr>
        <w:t>Passionate about delivering high-quality, low-maintenance applications.</w:t>
      </w:r>
    </w:p>
    <w:p>
      <w:pPr>
        <w:autoSpaceDN w:val="0"/>
        <w:autoSpaceDE w:val="0"/>
        <w:widowControl/>
        <w:spacing w:line="180" w:lineRule="exact" w:before="16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0"/>
        </w:trPr>
        <w:tc>
          <w:tcPr>
            <w:tcW w:type="dxa" w:w="54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44" w:right="3312" w:firstLine="0"/>
              <w:jc w:val="center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sdhfkljsdahfjksha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jhdfjklhasjkhdfkljhasd</w:t>
            </w:r>
          </w:p>
        </w:tc>
        <w:tc>
          <w:tcPr>
            <w:tcW w:type="dxa" w:w="5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4392" w:right="0" w:hanging="972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jhdkljfhkljshdfkj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hkdjhfsha</w:t>
            </w:r>
          </w:p>
        </w:tc>
      </w:tr>
    </w:tbl>
    <w:p>
      <w:pPr>
        <w:autoSpaceDN w:val="0"/>
        <w:autoSpaceDE w:val="0"/>
        <w:widowControl/>
        <w:spacing w:line="226" w:lineRule="exact" w:before="2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hjksdfhkjshdfkjhasdjkfhkjasdhfkjasdhfkljsdhakfbksdjahfjksdh</w:t>
      </w:r>
    </w:p>
    <w:p>
      <w:pPr>
        <w:autoSpaceDN w:val="0"/>
        <w:autoSpaceDE w:val="0"/>
        <w:widowControl/>
        <w:spacing w:line="178" w:lineRule="exact" w:before="15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8"/>
        </w:trPr>
        <w:tc>
          <w:tcPr>
            <w:tcW w:type="dxa" w:w="55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3024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Acme Corporation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Senior Software Engineer</w:t>
            </w:r>
          </w:p>
        </w:tc>
        <w:tc>
          <w:tcPr>
            <w:tcW w:type="dxa" w:w="52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4002" w:right="0" w:hanging="878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San Francisco, CA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2020-Present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14" w:after="0"/>
        <w:ind w:left="514" w:right="100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3 microservices using Spring Boot, resulting in a 20% increase in application </w:t>
      </w:r>
      <w:r>
        <w:rPr>
          <w:rFonts w:ascii="CMR10" w:hAnsi="CMR10" w:eastAsia="CMR10"/>
          <w:b w:val="0"/>
          <w:i w:val="0"/>
          <w:color w:val="000000"/>
          <w:sz w:val="20"/>
        </w:rPr>
        <w:t>performance.</w:t>
      </w:r>
    </w:p>
    <w:p>
      <w:pPr>
        <w:autoSpaceDN w:val="0"/>
        <w:autoSpaceDE w:val="0"/>
        <w:widowControl/>
        <w:spacing w:line="258" w:lineRule="exact" w:before="0" w:after="0"/>
        <w:ind w:left="514" w:right="216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Led the migration of 2 legacy applications to Azure, reducing infrastructure costs by 15%.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Mentored junior engineers in best practices for software development and DevOps.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code quality by 10% through implementing rigorous code reviews and automated testing.</w:t>
      </w:r>
    </w:p>
    <w:p>
      <w:pPr>
        <w:autoSpaceDN w:val="0"/>
        <w:autoSpaceDE w:val="0"/>
        <w:widowControl/>
        <w:spacing w:line="178" w:lineRule="exact" w:before="176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2"/>
        </w:trPr>
        <w:tc>
          <w:tcPr>
            <w:tcW w:type="dxa" w:w="66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GEICO Customer Portal Redesign</w:t>
            </w:r>
          </w:p>
        </w:tc>
        <w:tc>
          <w:tcPr>
            <w:tcW w:type="dxa" w:w="41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4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2022-2023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Redesigned the GEICO customer portal using React and Node.js, improving user experience by 30% (measured by </w:t>
      </w:r>
      <w:r>
        <w:rPr>
          <w:rFonts w:ascii="CMR10" w:hAnsi="CMR10" w:eastAsia="CMR10"/>
          <w:b w:val="0"/>
          <w:i w:val="0"/>
          <w:color w:val="000000"/>
          <w:sz w:val="20"/>
        </w:rPr>
        <w:t>task completion time).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72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 new authentication system using OAuth 2.0, increasing security by 25% (reduced successful </w:t>
      </w:r>
      <w:r>
        <w:rPr>
          <w:rFonts w:ascii="CMR10" w:hAnsi="CMR10" w:eastAsia="CMR10"/>
          <w:b w:val="0"/>
          <w:i w:val="0"/>
          <w:color w:val="000000"/>
          <w:sz w:val="20"/>
        </w:rPr>
        <w:t>breaches by 25%).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with Azure Active Directory for seamless user login and authorization.</w:t>
      </w:r>
    </w:p>
    <w:p>
      <w:pPr>
        <w:autoSpaceDN w:val="0"/>
        <w:tabs>
          <w:tab w:pos="514" w:val="left"/>
          <w:tab w:pos="700" w:val="left"/>
          <w:tab w:pos="9696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Scalable Claims Processing System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2021-2022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highly scalable claims processing system using Java, Spring Boot, and Kubernetes, handling a 40%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increase in claims volume.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continuous integration and continuous deployment (CI/CD) pipelines using Azure DevOps, reducing </w:t>
      </w:r>
      <w:r>
        <w:rPr>
          <w:rFonts w:ascii="CMR10" w:hAnsi="CMR10" w:eastAsia="CMR10"/>
          <w:b w:val="0"/>
          <w:i w:val="0"/>
          <w:color w:val="000000"/>
          <w:sz w:val="20"/>
        </w:rPr>
        <w:t>deployment time by 50%.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system reliability by 20% through implementing robust error handling and monitoring.</w:t>
      </w:r>
    </w:p>
    <w:p>
      <w:pPr>
        <w:autoSpaceDN w:val="0"/>
        <w:tabs>
          <w:tab w:pos="514" w:val="left"/>
          <w:tab w:pos="700" w:val="left"/>
          <w:tab w:pos="9696" w:val="left"/>
        </w:tabs>
        <w:autoSpaceDE w:val="0"/>
        <w:widowControl/>
        <w:spacing w:line="260" w:lineRule="exact" w:before="0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Secure API Gateway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2020-2021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secure API gateway using Nginx and Kong, protecting 100+ APIs from unauthorized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rate limiting and request filtering to prevent denial-of-service attacks.</w:t>
      </w:r>
    </w:p>
    <w:p>
      <w:pPr>
        <w:autoSpaceDN w:val="0"/>
        <w:autoSpaceDE w:val="0"/>
        <w:widowControl/>
        <w:spacing w:line="220" w:lineRule="exact" w:before="4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with Azure Monitor for real-time monitoring and alerting.</w:t>
      </w:r>
    </w:p>
    <w:p>
      <w:pPr>
        <w:autoSpaceDN w:val="0"/>
        <w:autoSpaceDE w:val="0"/>
        <w:widowControl/>
        <w:spacing w:line="180" w:lineRule="exact" w:before="174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198" w:lineRule="exact" w:before="15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jksdfhjksadhfk: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hkjdfkjashdfjkhds</w:t>
      </w:r>
    </w:p>
    <w:sectPr w:rsidR="00FC693F" w:rsidRPr="0006063C" w:rsidSect="00034616">
      <w:pgSz w:w="12240" w:h="15840"/>
      <w:pgMar w:top="358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