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in software development,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seeking to leverage expertise in Python and C++ to design and develop high-performance Python APIs for NVIDIA’s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math libraries. Proven ability to develop, debug, and optimize applications on parallel computing platforms, contributing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improved user experiences and performance. Strong understanding of fundamental numerical methods and agile </w:t>
      </w:r>
      <w:r>
        <w:rPr>
          <w:rFonts w:ascii="CMR10" w:hAnsi="CMR10" w:eastAsia="CMR10"/>
          <w:b w:val="0"/>
          <w:i w:val="0"/>
          <w:color w:val="000000"/>
          <w:sz w:val="20"/>
        </w:rPr>
        <w:t>development methodologies.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46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46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46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4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high-performance Java applications, improving efficiency by 15%.</w:t>
      </w:r>
    </w:p>
    <w:p>
      <w:pPr>
        <w:autoSpaceDN w:val="0"/>
        <w:autoSpaceDE w:val="0"/>
        <w:widowControl/>
        <w:spacing w:line="258" w:lineRule="exact" w:before="2" w:after="128"/>
        <w:ind w:left="514" w:right="172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innovative solutions using cutting-edge technologies, exceeding client expectations.</w:t>
      </w:r>
    </w:p>
    <w:p>
      <w:pPr>
        <w:sectPr>
          <w:type w:val="continuous"/>
          <w:pgSz w:w="12240" w:h="15840"/>
          <w:pgMar w:top="358" w:right="696" w:bottom="46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46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46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the design and implementation of software modules.</w:t>
      </w:r>
    </w:p>
    <w:p>
      <w:pPr>
        <w:autoSpaceDN w:val="0"/>
        <w:autoSpaceDE w:val="0"/>
        <w:widowControl/>
        <w:spacing w:line="260" w:lineRule="exact" w:before="0" w:after="0"/>
        <w:ind w:left="514" w:right="158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testing and debugging of applications, improving overall software quality.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in various programming languages and development methodologies.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High-Performance Linear Algebra Library API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26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Python APIs for linear algebra operations using NumPy and SciPy.</w:t>
      </w:r>
    </w:p>
    <w:p>
      <w:pPr>
        <w:autoSpaceDN w:val="0"/>
        <w:autoSpaceDE w:val="0"/>
        <w:widowControl/>
        <w:spacing w:line="258" w:lineRule="exact" w:before="0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API performance for various CPU and GPU architectures, achieving a 20% speedup.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APIs into existing machine learning frameworks, improving ease of use for developers.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Performed rigorous testing and benchmarking to ensure accuracy and reliability.</w:t>
      </w:r>
    </w:p>
    <w:p>
      <w:pPr>
        <w:autoSpaceDN w:val="0"/>
        <w:tabs>
          <w:tab w:pos="514" w:val="left"/>
          <w:tab w:pos="865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GPU-Accelerated Numerical Computation Library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Sep 2021 - Mar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optimized Python APIs for GPU-accelerated numerical computations using CUDA.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performance of existing algorithms by leveraging parallel processing capabilities.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researchers to integrate the library into their scientific computing workflows.</w:t>
      </w:r>
    </w:p>
    <w:p>
      <w:pPr>
        <w:autoSpaceDN w:val="0"/>
        <w:tabs>
          <w:tab w:pos="514" w:val="left"/>
          <w:tab w:pos="700" w:val="left"/>
          <w:tab w:pos="8678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Python API for Deep Learning Framework Integration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2022 - Apr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Python APIs to seamlessly integrate NVIDIA math libraries with popular deep learning frameworks such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PyTorch and TensorFlow.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comprehensive documentation and tutorials to enhance user experience and adoption rate.</w:t>
      </w:r>
    </w:p>
    <w:p>
      <w:pPr>
        <w:autoSpaceDN w:val="0"/>
        <w:autoSpaceDE w:val="0"/>
        <w:widowControl/>
        <w:spacing w:line="220" w:lineRule="exact" w:before="40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Consistently monitored and improved API performance based on user feedback and performance benchmarks.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4" w:lineRule="exact" w:before="138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</w:t>
      </w:r>
    </w:p>
    <w:p>
      <w:pPr>
        <w:autoSpaceDN w:val="0"/>
        <w:autoSpaceDE w:val="0"/>
        <w:widowControl/>
        <w:spacing w:line="250" w:lineRule="exact" w:before="254" w:after="0"/>
        <w:ind w:left="332" w:right="7776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46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