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36"/>
        <w:ind w:left="0" w:right="0"/>
      </w:pPr>
    </w:p>
    <w:p>
      <w:pPr>
        <w:autoSpaceDN w:val="0"/>
        <w:autoSpaceDE w:val="0"/>
        <w:widowControl/>
        <w:spacing w:line="288" w:lineRule="exact" w:before="0" w:after="20"/>
        <w:ind w:left="0" w:right="0" w:firstLine="0"/>
        <w:jc w:val="center"/>
      </w:pP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Yashwanth Raj Tirupati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44.00000000000006" w:type="dxa"/>
      </w:tblPr>
      <w:tblGrid>
        <w:gridCol w:w="2707"/>
        <w:gridCol w:w="2707"/>
        <w:gridCol w:w="2707"/>
        <w:gridCol w:w="2707"/>
      </w:tblGrid>
      <w:tr>
        <w:trPr>
          <w:trHeight w:hRule="exact" w:val="248"/>
        </w:trPr>
        <w:tc>
          <w:tcPr>
            <w:tcW w:type="dxa" w:w="2106"/>
            <w:tcBorders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0" w:after="0"/>
              <w:ind w:left="362" w:right="0" w:firstLine="0"/>
              <w:jc w:val="lef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(937)-469-9700</w:t>
            </w:r>
          </w:p>
        </w:tc>
        <w:tc>
          <w:tcPr>
            <w:tcW w:type="dxa" w:w="2234"/>
            <w:tcBorders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0" w:after="0"/>
              <w:ind w:left="0" w:right="0" w:firstLine="0"/>
              <w:jc w:val="center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tyashwanth99@gmail.com</w:t>
            </w:r>
          </w:p>
        </w:tc>
        <w:tc>
          <w:tcPr>
            <w:tcW w:type="dxa" w:w="3474"/>
            <w:tcBorders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0" w:after="0"/>
              <w:ind w:left="436" w:right="0" w:firstLine="0"/>
              <w:jc w:val="lef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linkedin.com/in/yashwanthtirupati</w:t>
            </w:r>
          </w:p>
        </w:tc>
        <w:tc>
          <w:tcPr>
            <w:tcW w:type="dxa" w:w="2148"/>
            <w:tcBorders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0" w:after="0"/>
              <w:ind w:left="456" w:right="0" w:firstLine="0"/>
              <w:jc w:val="lef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github.com/proxiee</w:t>
            </w:r>
          </w:p>
        </w:tc>
      </w:tr>
    </w:tbl>
    <w:p>
      <w:pPr>
        <w:autoSpaceDN w:val="0"/>
        <w:autoSpaceDE w:val="0"/>
        <w:widowControl/>
        <w:spacing w:line="178" w:lineRule="exact" w:before="170" w:after="0"/>
        <w:ind w:left="4" w:right="0" w:firstLine="0"/>
        <w:jc w:val="left"/>
      </w:pPr>
      <w:r>
        <w:rPr>
          <w:rFonts w:ascii="CMBX9" w:hAnsi="CMBX9" w:eastAsia="CMBX9"/>
          <w:b/>
          <w:i w:val="0"/>
          <w:color w:val="000000"/>
          <w:sz w:val="18"/>
        </w:rPr>
        <w:t>SUMMARY</w:t>
      </w:r>
    </w:p>
    <w:p>
      <w:pPr>
        <w:autoSpaceDN w:val="0"/>
        <w:autoSpaceDE w:val="0"/>
        <w:widowControl/>
        <w:spacing w:line="240" w:lineRule="exact" w:before="122" w:after="0"/>
        <w:ind w:left="220" w:right="144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Results-oriented AI/CV Engineer with an M.S. in Computer Science and expertise in migrating applications. Proven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ability to optimize on-device performance and improve model accuracy. Proficient in Python, C++, PyTorch and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experienced in developing and deploying deep learning models for AR/VR applications. Seeking a Lead OCP Engineer </w:t>
      </w:r>
      <w:r>
        <w:rPr>
          <w:rFonts w:ascii="CMR10" w:hAnsi="CMR10" w:eastAsia="CMR10"/>
          <w:b w:val="0"/>
          <w:i w:val="0"/>
          <w:color w:val="000000"/>
          <w:sz w:val="20"/>
        </w:rPr>
        <w:t>role within the Financial Services industry.</w:t>
      </w:r>
    </w:p>
    <w:p>
      <w:pPr>
        <w:autoSpaceDN w:val="0"/>
        <w:autoSpaceDE w:val="0"/>
        <w:widowControl/>
        <w:spacing w:line="178" w:lineRule="exact" w:before="70" w:after="96"/>
        <w:ind w:left="4" w:right="0" w:firstLine="0"/>
        <w:jc w:val="left"/>
      </w:pPr>
      <w:r>
        <w:rPr>
          <w:rFonts w:ascii="CMBX9" w:hAnsi="CMBX9" w:eastAsia="CMBX9"/>
          <w:b/>
          <w:i w:val="0"/>
          <w:color w:val="000000"/>
          <w:sz w:val="18"/>
        </w:rPr>
        <w:t>EDUCATION</w:t>
      </w:r>
    </w:p>
    <w:p>
      <w:pPr>
        <w:sectPr>
          <w:pgSz w:w="12240" w:h="15840"/>
          <w:pgMar w:top="358" w:right="696" w:bottom="288" w:left="71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4" w:lineRule="exact" w:before="0" w:after="0"/>
        <w:ind w:left="220" w:right="2880" w:firstLine="0"/>
        <w:jc w:val="left"/>
      </w:pPr>
      <w:r>
        <w:rPr>
          <w:rFonts w:ascii="CMBX10" w:hAnsi="CMBX10" w:eastAsia="CMBX10"/>
          <w:b/>
          <w:i w:val="0"/>
          <w:color w:val="000000"/>
          <w:sz w:val="22"/>
        </w:rPr>
        <w:t xml:space="preserve">University of Dayton </w:t>
      </w:r>
      <w:r>
        <w:br/>
      </w:r>
      <w:r>
        <w:rPr>
          <w:rFonts w:ascii="CMTI10" w:hAnsi="CMTI10" w:eastAsia="CMTI10"/>
          <w:b w:val="0"/>
          <w:i/>
          <w:color w:val="000000"/>
          <w:sz w:val="20"/>
        </w:rPr>
        <w:t>M.S. in Computer Science</w:t>
      </w:r>
    </w:p>
    <w:p>
      <w:pPr>
        <w:sectPr>
          <w:type w:val="continuous"/>
          <w:pgSz w:w="12240" w:h="15840"/>
          <w:pgMar w:top="358" w:right="696" w:bottom="288" w:left="716" w:header="720" w:footer="720" w:gutter="0"/>
          <w:cols w:num="2" w:equalWidth="0">
            <w:col w:w="5536" w:space="0"/>
            <w:col w:w="5292" w:space="0"/>
          </w:cols>
          <w:docGrid w:linePitch="360"/>
        </w:sectPr>
      </w:pPr>
    </w:p>
    <w:p>
      <w:pPr>
        <w:autoSpaceDN w:val="0"/>
        <w:tabs>
          <w:tab w:pos="3244" w:val="left"/>
        </w:tabs>
        <w:autoSpaceDE w:val="0"/>
        <w:widowControl/>
        <w:spacing w:line="244" w:lineRule="exact" w:before="0" w:after="26"/>
        <w:ind w:left="3006" w:right="0" w:firstLine="0"/>
        <w:jc w:val="left"/>
      </w:pPr>
      <w:r>
        <w:rPr>
          <w:rFonts w:ascii="CMBX10" w:hAnsi="CMBX10" w:eastAsia="CMBX10"/>
          <w:b/>
          <w:i w:val="0"/>
          <w:color w:val="000000"/>
          <w:sz w:val="22"/>
        </w:rPr>
        <w:t xml:space="preserve">Dayton, Ohio, USA </w:t>
      </w:r>
      <w:r>
        <w:br/>
      </w: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Aug 2023 - May 2025</w:t>
      </w:r>
    </w:p>
    <w:p>
      <w:pPr>
        <w:sectPr>
          <w:type w:val="nextColumn"/>
          <w:pgSz w:w="12240" w:h="15840"/>
          <w:pgMar w:top="358" w:right="696" w:bottom="288" w:left="716" w:header="720" w:footer="720" w:gutter="0"/>
          <w:cols w:num="2" w:equalWidth="0">
            <w:col w:w="5536" w:space="0"/>
            <w:col w:w="5292" w:space="0"/>
          </w:cols>
          <w:docGrid w:linePitch="360"/>
        </w:sectPr>
      </w:pPr>
    </w:p>
    <w:p>
      <w:pPr>
        <w:autoSpaceDN w:val="0"/>
        <w:autoSpaceDE w:val="0"/>
        <w:widowControl/>
        <w:spacing w:line="230" w:lineRule="exact" w:before="0" w:after="0"/>
        <w:ind w:left="514" w:right="432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BX10" w:hAnsi="CMBX10" w:eastAsia="CMBX10"/>
          <w:b/>
          <w:i w:val="0"/>
          <w:color w:val="000000"/>
          <w:sz w:val="20"/>
        </w:rPr>
        <w:t xml:space="preserve"> Concentrations: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Autonomous Systems and Data Science</w:t>
      </w:r>
      <w:r>
        <w:br/>
      </w: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BX10" w:hAnsi="CMBX10" w:eastAsia="CMBX10"/>
          <w:b/>
          <w:i w:val="0"/>
          <w:color w:val="000000"/>
          <w:sz w:val="20"/>
        </w:rPr>
        <w:t xml:space="preserve"> GPA: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3.41/4.00</w:t>
      </w:r>
      <w:r>
        <w:br/>
      </w: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BX10" w:hAnsi="CMBX10" w:eastAsia="CMBX10"/>
          <w:b/>
          <w:i w:val="0"/>
          <w:color w:val="000000"/>
          <w:sz w:val="20"/>
        </w:rPr>
        <w:t xml:space="preserve"> Related Coursework: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Data Structures &amp; Algorithms, Objects &amp; Design, Virtual Reality, Machine Learning,</w:t>
      </w:r>
    </w:p>
    <w:p>
      <w:pPr>
        <w:autoSpaceDN w:val="0"/>
        <w:autoSpaceDE w:val="0"/>
        <w:widowControl/>
        <w:spacing w:line="200" w:lineRule="exact" w:before="40" w:after="84"/>
        <w:ind w:left="700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Artificial Intelligence, Object-Oriented Programming, Algorithm Design, Advanced Computer Vision.</w:t>
      </w:r>
    </w:p>
    <w:p>
      <w:pPr>
        <w:sectPr>
          <w:type w:val="continuous"/>
          <w:pgSz w:w="12240" w:h="15840"/>
          <w:pgMar w:top="358" w:right="696" w:bottom="288" w:left="716" w:header="720" w:footer="720" w:gutter="0"/>
          <w:cols/>
          <w:docGrid w:linePitch="360"/>
        </w:sectPr>
      </w:pPr>
    </w:p>
    <w:p>
      <w:pPr>
        <w:autoSpaceDN w:val="0"/>
        <w:tabs>
          <w:tab w:pos="514" w:val="left"/>
        </w:tabs>
        <w:autoSpaceDE w:val="0"/>
        <w:widowControl/>
        <w:spacing w:line="250" w:lineRule="exact" w:before="0" w:after="0"/>
        <w:ind w:left="220" w:right="1152" w:firstLine="0"/>
        <w:jc w:val="left"/>
      </w:pPr>
      <w:r>
        <w:rPr>
          <w:rFonts w:ascii="CMBX10" w:hAnsi="CMBX10" w:eastAsia="CMBX10"/>
          <w:b/>
          <w:i w:val="0"/>
          <w:color w:val="000000"/>
          <w:sz w:val="22"/>
        </w:rPr>
        <w:t xml:space="preserve">Jawaharlal Nehru Technological University </w:t>
      </w:r>
      <w:r>
        <w:rPr>
          <w:rFonts w:ascii="CMTI10" w:hAnsi="CMTI10" w:eastAsia="CMTI10"/>
          <w:b w:val="0"/>
          <w:i/>
          <w:color w:val="000000"/>
          <w:sz w:val="20"/>
        </w:rPr>
        <w:t>B.Tech. in Computer Science &amp; Engineering</w:t>
      </w:r>
      <w:r>
        <w:br/>
      </w:r>
      <w:r>
        <w:tab/>
      </w: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BX10" w:hAnsi="CMBX10" w:eastAsia="CMBX10"/>
          <w:b/>
          <w:i w:val="0"/>
          <w:color w:val="000000"/>
          <w:sz w:val="20"/>
        </w:rPr>
        <w:t xml:space="preserve"> CGPA: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7.3/10.00</w:t>
      </w:r>
    </w:p>
    <w:p>
      <w:pPr>
        <w:sectPr>
          <w:type w:val="continuous"/>
          <w:pgSz w:w="12240" w:h="15840"/>
          <w:pgMar w:top="358" w:right="696" w:bottom="288" w:left="716" w:header="720" w:footer="720" w:gutter="0"/>
          <w:cols w:num="2" w:equalWidth="0">
            <w:col w:w="6224" w:space="0"/>
            <w:col w:w="4604" w:space="0"/>
          </w:cols>
          <w:docGrid w:linePitch="360"/>
        </w:sectPr>
      </w:pPr>
    </w:p>
    <w:p>
      <w:pPr>
        <w:autoSpaceDN w:val="0"/>
        <w:tabs>
          <w:tab w:pos="2500" w:val="left"/>
        </w:tabs>
        <w:autoSpaceDE w:val="0"/>
        <w:widowControl/>
        <w:spacing w:line="242" w:lineRule="exact" w:before="0" w:after="274"/>
        <w:ind w:left="1282" w:right="0" w:firstLine="0"/>
        <w:jc w:val="left"/>
      </w:pPr>
      <w:r>
        <w:rPr>
          <w:rFonts w:ascii="CMBX10" w:hAnsi="CMBX10" w:eastAsia="CMBX10"/>
          <w:b/>
          <w:i w:val="0"/>
          <w:color w:val="000000"/>
          <w:sz w:val="22"/>
        </w:rPr>
        <w:t xml:space="preserve">Hyderabad, Telangana, India </w:t>
      </w:r>
      <w:r>
        <w:rPr>
          <w:rFonts w:ascii="CMTI10" w:hAnsi="CMTI10" w:eastAsia="CMTI10"/>
          <w:b w:val="0"/>
          <w:i/>
          <w:color w:val="000000"/>
          <w:sz w:val="20"/>
        </w:rPr>
        <w:t>June 2018 - July 2022</w:t>
      </w:r>
    </w:p>
    <w:p>
      <w:pPr>
        <w:sectPr>
          <w:type w:val="nextColumn"/>
          <w:pgSz w:w="12240" w:h="15840"/>
          <w:pgMar w:top="358" w:right="696" w:bottom="288" w:left="716" w:header="720" w:footer="720" w:gutter="0"/>
          <w:cols w:num="2" w:equalWidth="0">
            <w:col w:w="6224" w:space="0"/>
            <w:col w:w="4604" w:space="0"/>
          </w:cols>
          <w:docGrid w:linePitch="360"/>
        </w:sectPr>
      </w:pPr>
    </w:p>
    <w:p>
      <w:pPr>
        <w:autoSpaceDN w:val="0"/>
        <w:tabs>
          <w:tab w:pos="700" w:val="left"/>
        </w:tabs>
        <w:autoSpaceDE w:val="0"/>
        <w:widowControl/>
        <w:spacing w:line="230" w:lineRule="exact" w:before="0" w:after="0"/>
        <w:ind w:left="514" w:right="576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BX10" w:hAnsi="CMBX10" w:eastAsia="CMBX10"/>
          <w:b/>
          <w:i w:val="0"/>
          <w:color w:val="000000"/>
          <w:sz w:val="20"/>
        </w:rPr>
        <w:t xml:space="preserve"> Related Coursework: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Operating Systems, Database Management Systems, Computer Networks, Discrete </w:t>
      </w:r>
      <w:r>
        <w:rPr>
          <w:rFonts w:ascii="CMR10" w:hAnsi="CMR10" w:eastAsia="CMR10"/>
          <w:b w:val="0"/>
          <w:i w:val="0"/>
          <w:color w:val="000000"/>
          <w:sz w:val="20"/>
        </w:rPr>
        <w:t>Mathematics, Web Technologies, Software Engineering.</w:t>
      </w:r>
    </w:p>
    <w:p>
      <w:pPr>
        <w:autoSpaceDN w:val="0"/>
        <w:autoSpaceDE w:val="0"/>
        <w:widowControl/>
        <w:spacing w:line="180" w:lineRule="exact" w:before="46" w:after="44"/>
        <w:ind w:left="4" w:right="0" w:firstLine="0"/>
        <w:jc w:val="left"/>
      </w:pPr>
      <w:r>
        <w:rPr>
          <w:rFonts w:ascii="CMBX9" w:hAnsi="CMBX9" w:eastAsia="CMBX9"/>
          <w:b/>
          <w:i w:val="0"/>
          <w:color w:val="000000"/>
          <w:sz w:val="18"/>
        </w:rPr>
        <w:t>EXPERIENCE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414"/>
        <w:gridCol w:w="5414"/>
      </w:tblGrid>
      <w:tr>
        <w:trPr>
          <w:trHeight w:hRule="exact" w:val="602"/>
        </w:trPr>
        <w:tc>
          <w:tcPr>
            <w:tcW w:type="dxa" w:w="5664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8" w:after="0"/>
              <w:ind w:left="220" w:right="1872" w:firstLine="0"/>
              <w:jc w:val="left"/>
            </w:pPr>
            <w:r>
              <w:rPr>
                <w:rFonts w:ascii="CMBX10" w:hAnsi="CMBX10" w:eastAsia="CMBX10"/>
                <w:b/>
                <w:i w:val="0"/>
                <w:color w:val="000000"/>
                <w:sz w:val="22"/>
              </w:rPr>
              <w:t xml:space="preserve">Cognizant Technology Solutions </w:t>
            </w:r>
            <w:r>
              <w:rPr>
                <w:rFonts w:ascii="CMTI10" w:hAnsi="CMTI10" w:eastAsia="CMTI10"/>
                <w:b w:val="0"/>
                <w:i/>
                <w:color w:val="000000"/>
                <w:sz w:val="20"/>
              </w:rPr>
              <w:t>Software Developer</w:t>
            </w:r>
          </w:p>
        </w:tc>
        <w:tc>
          <w:tcPr>
            <w:tcW w:type="dxa" w:w="5144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944" w:val="left"/>
              </w:tabs>
              <w:autoSpaceDE w:val="0"/>
              <w:widowControl/>
              <w:spacing w:line="266" w:lineRule="exact" w:before="48" w:after="0"/>
              <w:ind w:left="1948" w:right="0" w:firstLine="0"/>
              <w:jc w:val="left"/>
            </w:pPr>
            <w:r>
              <w:rPr>
                <w:rFonts w:ascii="CMBX10" w:hAnsi="CMBX10" w:eastAsia="CMBX10"/>
                <w:b/>
                <w:i w:val="0"/>
                <w:color w:val="000000"/>
                <w:sz w:val="22"/>
              </w:rPr>
              <w:t xml:space="preserve">Chennai, Tamil Nadu, India </w:t>
            </w:r>
            <w:r>
              <w:tab/>
            </w:r>
            <w:r>
              <w:rPr>
                <w:rFonts w:ascii="CMTI10" w:hAnsi="CMTI10" w:eastAsia="CMTI10"/>
                <w:b w:val="0"/>
                <w:i/>
                <w:color w:val="000000"/>
                <w:sz w:val="20"/>
              </w:rPr>
              <w:t>March 2023 - Aug 2023</w:t>
            </w:r>
          </w:p>
        </w:tc>
      </w:tr>
    </w:tbl>
    <w:p>
      <w:pPr>
        <w:autoSpaceDN w:val="0"/>
        <w:tabs>
          <w:tab w:pos="700" w:val="left"/>
        </w:tabs>
        <w:autoSpaceDE w:val="0"/>
        <w:widowControl/>
        <w:spacing w:line="238" w:lineRule="exact" w:before="4" w:after="0"/>
        <w:ind w:left="514" w:right="144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Developed and deployed full-stack features for enterprise systems using Spring Boot (Java) and modern front-end </w:t>
      </w:r>
      <w:r>
        <w:rPr>
          <w:rFonts w:ascii="CMR10" w:hAnsi="CMR10" w:eastAsia="CMR10"/>
          <w:b w:val="0"/>
          <w:i w:val="0"/>
          <w:color w:val="000000"/>
          <w:sz w:val="20"/>
        </w:rPr>
        <w:t>frameworks, ensuring extensible, maintainable, high-quality code.</w:t>
      </w:r>
    </w:p>
    <w:p>
      <w:pPr>
        <w:autoSpaceDN w:val="0"/>
        <w:tabs>
          <w:tab w:pos="700" w:val="left"/>
        </w:tabs>
        <w:autoSpaceDE w:val="0"/>
        <w:widowControl/>
        <w:spacing w:line="236" w:lineRule="exact" w:before="0" w:after="84"/>
        <w:ind w:left="514" w:right="432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Collaborated in an Agile team, translating user requirements into technical specifications and delivering robust </w:t>
      </w:r>
      <w:r>
        <w:rPr>
          <w:rFonts w:ascii="CMR10" w:hAnsi="CMR10" w:eastAsia="CMR10"/>
          <w:b w:val="0"/>
          <w:i w:val="0"/>
          <w:color w:val="000000"/>
          <w:sz w:val="20"/>
        </w:rPr>
        <w:t>solutions; improved API response times by 15%.</w:t>
      </w:r>
    </w:p>
    <w:p>
      <w:pPr>
        <w:sectPr>
          <w:type w:val="continuous"/>
          <w:pgSz w:w="12240" w:h="15840"/>
          <w:pgMar w:top="358" w:right="696" w:bottom="288" w:left="71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2" w:lineRule="exact" w:before="0" w:after="0"/>
        <w:ind w:left="220" w:right="1872" w:firstLine="0"/>
        <w:jc w:val="left"/>
      </w:pPr>
      <w:r>
        <w:rPr>
          <w:rFonts w:ascii="CMBX10" w:hAnsi="CMBX10" w:eastAsia="CMBX10"/>
          <w:b/>
          <w:i w:val="0"/>
          <w:color w:val="000000"/>
          <w:sz w:val="22"/>
        </w:rPr>
        <w:t xml:space="preserve">Cognizant Technology Solutions </w:t>
      </w:r>
      <w:r>
        <w:rPr>
          <w:rFonts w:ascii="CMTI10" w:hAnsi="CMTI10" w:eastAsia="CMTI10"/>
          <w:b w:val="0"/>
          <w:i/>
          <w:color w:val="000000"/>
          <w:sz w:val="20"/>
        </w:rPr>
        <w:t>Programmer Analyst Intern</w:t>
      </w:r>
    </w:p>
    <w:p>
      <w:pPr>
        <w:sectPr>
          <w:type w:val="continuous"/>
          <w:pgSz w:w="12240" w:h="15840"/>
          <w:pgMar w:top="358" w:right="696" w:bottom="288" w:left="716" w:header="720" w:footer="720" w:gutter="0"/>
          <w:cols w:num="2" w:equalWidth="0">
            <w:col w:w="5670" w:space="0"/>
            <w:col w:w="5158" w:space="0"/>
          </w:cols>
          <w:docGrid w:linePitch="360"/>
        </w:sectPr>
      </w:pPr>
    </w:p>
    <w:p>
      <w:pPr>
        <w:autoSpaceDN w:val="0"/>
        <w:tabs>
          <w:tab w:pos="3052" w:val="left"/>
        </w:tabs>
        <w:autoSpaceDE w:val="0"/>
        <w:widowControl/>
        <w:spacing w:line="242" w:lineRule="exact" w:before="0" w:after="36"/>
        <w:ind w:left="1942" w:right="0" w:firstLine="0"/>
        <w:jc w:val="left"/>
      </w:pPr>
      <w:r>
        <w:rPr>
          <w:rFonts w:ascii="CMBX10" w:hAnsi="CMBX10" w:eastAsia="CMBX10"/>
          <w:b/>
          <w:i w:val="0"/>
          <w:color w:val="000000"/>
          <w:sz w:val="22"/>
        </w:rPr>
        <w:t xml:space="preserve">Chennai, Tamil Nadu, India </w:t>
      </w: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March 2022-Sept 2022</w:t>
      </w:r>
    </w:p>
    <w:p>
      <w:pPr>
        <w:sectPr>
          <w:type w:val="nextColumn"/>
          <w:pgSz w:w="12240" w:h="15840"/>
          <w:pgMar w:top="358" w:right="696" w:bottom="288" w:left="716" w:header="720" w:footer="720" w:gutter="0"/>
          <w:cols w:num="2" w:equalWidth="0">
            <w:col w:w="5670" w:space="0"/>
            <w:col w:w="5158" w:space="0"/>
          </w:cols>
          <w:docGrid w:linePitch="360"/>
        </w:sectPr>
      </w:pPr>
    </w:p>
    <w:p>
      <w:pPr>
        <w:autoSpaceDN w:val="0"/>
        <w:tabs>
          <w:tab w:pos="700" w:val="left"/>
        </w:tabs>
        <w:autoSpaceDE w:val="0"/>
        <w:widowControl/>
        <w:spacing w:line="234" w:lineRule="exact" w:before="0" w:after="0"/>
        <w:ind w:left="514" w:right="288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Improved enterprise application stability by identifying and fixing bugs, resulting in a 10% reduction in reported </w:t>
      </w:r>
      <w:r>
        <w:rPr>
          <w:rFonts w:ascii="CMR10" w:hAnsi="CMR10" w:eastAsia="CMR10"/>
          <w:b w:val="0"/>
          <w:i w:val="0"/>
          <w:color w:val="000000"/>
          <w:sz w:val="20"/>
        </w:rPr>
        <w:t>issues.</w:t>
      </w:r>
    </w:p>
    <w:p>
      <w:pPr>
        <w:autoSpaceDN w:val="0"/>
        <w:autoSpaceDE w:val="0"/>
        <w:widowControl/>
        <w:spacing w:line="220" w:lineRule="exact" w:before="10" w:after="0"/>
        <w:ind w:left="514" w:right="0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Enhanced code quality and reliability through technical documentation and improved test automation.</w:t>
      </w:r>
    </w:p>
    <w:p>
      <w:pPr>
        <w:autoSpaceDN w:val="0"/>
        <w:autoSpaceDE w:val="0"/>
        <w:widowControl/>
        <w:spacing w:line="180" w:lineRule="exact" w:before="66" w:after="44"/>
        <w:ind w:left="4" w:right="0" w:firstLine="0"/>
        <w:jc w:val="left"/>
      </w:pPr>
      <w:r>
        <w:rPr>
          <w:rFonts w:ascii="CMBX9" w:hAnsi="CMBX9" w:eastAsia="CMBX9"/>
          <w:b/>
          <w:i w:val="0"/>
          <w:color w:val="000000"/>
          <w:sz w:val="18"/>
        </w:rPr>
        <w:t>PROJECTS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414"/>
        <w:gridCol w:w="5414"/>
      </w:tblGrid>
      <w:tr>
        <w:trPr>
          <w:trHeight w:hRule="exact" w:val="368"/>
        </w:trPr>
        <w:tc>
          <w:tcPr>
            <w:tcW w:type="dxa" w:w="7044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50" w:after="0"/>
              <w:ind w:left="220" w:right="0" w:firstLine="0"/>
              <w:jc w:val="left"/>
            </w:pP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Migration of Legacy Financial Application to OCP</w:t>
            </w:r>
          </w:p>
        </w:tc>
        <w:tc>
          <w:tcPr>
            <w:tcW w:type="dxa" w:w="3764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136" w:after="0"/>
              <w:ind w:left="0" w:right="142" w:firstLine="0"/>
              <w:jc w:val="right"/>
            </w:pPr>
            <w:r>
              <w:rPr>
                <w:rFonts w:ascii="CMTI10" w:hAnsi="CMTI10" w:eastAsia="CMTI10"/>
                <w:b w:val="0"/>
                <w:i/>
                <w:color w:val="000000"/>
                <w:sz w:val="22"/>
              </w:rPr>
              <w:t>Jan 2024-May 2025</w:t>
            </w:r>
          </w:p>
        </w:tc>
      </w:tr>
    </w:tbl>
    <w:p>
      <w:pPr>
        <w:autoSpaceDN w:val="0"/>
        <w:tabs>
          <w:tab w:pos="700" w:val="left"/>
        </w:tabs>
        <w:autoSpaceDE w:val="0"/>
        <w:widowControl/>
        <w:spacing w:line="236" w:lineRule="exact" w:before="0" w:after="0"/>
        <w:ind w:left="514" w:right="0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Led the successful migration of a legacy financial application (100k+ lines of code) from PCF to OCP, resulting in a </w:t>
      </w:r>
      <w:r>
        <w:rPr>
          <w:rFonts w:ascii="CMR10" w:hAnsi="CMR10" w:eastAsia="CMR10"/>
          <w:b w:val="0"/>
          <w:i w:val="0"/>
          <w:color w:val="000000"/>
          <w:sz w:val="20"/>
        </w:rPr>
        <w:t>20% reduction in infrastructure costs and a 15% improvement in application performance.</w:t>
      </w:r>
    </w:p>
    <w:p>
      <w:pPr>
        <w:autoSpaceDN w:val="0"/>
        <w:autoSpaceDE w:val="0"/>
        <w:widowControl/>
        <w:spacing w:line="222" w:lineRule="exact" w:before="10" w:after="0"/>
        <w:ind w:left="514" w:right="0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Implemented robust monitoring and alerting systems, ensuring 99.9% application uptime post-migration.</w:t>
      </w:r>
    </w:p>
    <w:p>
      <w:pPr>
        <w:autoSpaceDN w:val="0"/>
        <w:autoSpaceDE w:val="0"/>
        <w:widowControl/>
        <w:spacing w:line="198" w:lineRule="exact" w:before="40" w:after="0"/>
        <w:ind w:left="700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Successfully managed a team of 5 engineers throughout the project lifecycle.</w:t>
      </w:r>
    </w:p>
    <w:p>
      <w:pPr>
        <w:autoSpaceDN w:val="0"/>
        <w:tabs>
          <w:tab w:pos="514" w:val="left"/>
          <w:tab w:pos="700" w:val="left"/>
          <w:tab w:pos="8848" w:val="left"/>
        </w:tabs>
        <w:autoSpaceDE w:val="0"/>
        <w:widowControl/>
        <w:spacing w:line="236" w:lineRule="exact" w:before="0" w:after="0"/>
        <w:ind w:left="220" w:right="144" w:firstLine="0"/>
        <w:jc w:val="left"/>
      </w:pPr>
      <w:r>
        <w:rPr>
          <w:rFonts w:ascii="CMBX10" w:hAnsi="CMBX10" w:eastAsia="CMBX10"/>
          <w:b/>
          <w:i w:val="0"/>
          <w:color w:val="000000"/>
          <w:sz w:val="20"/>
        </w:rPr>
        <w:t xml:space="preserve">On-Device 3D Scene Reconstruction for VR — Personal Project </w:t>
      </w:r>
      <w:r>
        <w:tab/>
      </w:r>
      <w:r>
        <w:rPr>
          <w:rFonts w:ascii="CMTI10" w:hAnsi="CMTI10" w:eastAsia="CMTI10"/>
          <w:b w:val="0"/>
          <w:i/>
          <w:color w:val="000000"/>
          <w:sz w:val="22"/>
        </w:rPr>
        <w:t>Jun 2024 - Present</w:t>
      </w:r>
      <w:r>
        <w:tab/>
      </w: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Developed a custom SLAM algorithm that decreased tracking drift by 40% compared to baseline methods for </w:t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large-scale environments.</w:t>
      </w:r>
    </w:p>
    <w:p>
      <w:pPr>
        <w:autoSpaceDN w:val="0"/>
        <w:tabs>
          <w:tab w:pos="700" w:val="left"/>
        </w:tabs>
        <w:autoSpaceDE w:val="0"/>
        <w:widowControl/>
        <w:spacing w:line="236" w:lineRule="exact" w:before="0" w:after="0"/>
        <w:ind w:left="514" w:right="432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Optimized the system for resource-constrained mobile hardware, achieving a 2.5x speedup in mesh generation </w:t>
      </w:r>
      <w:r>
        <w:rPr>
          <w:rFonts w:ascii="CMR10" w:hAnsi="CMR10" w:eastAsia="CMR10"/>
          <w:b w:val="0"/>
          <w:i w:val="0"/>
          <w:color w:val="000000"/>
          <w:sz w:val="20"/>
        </w:rPr>
        <w:t>enabling interactive on-device performance.</w:t>
      </w:r>
    </w:p>
    <w:p>
      <w:pPr>
        <w:autoSpaceDN w:val="0"/>
        <w:tabs>
          <w:tab w:pos="514" w:val="left"/>
          <w:tab w:pos="700" w:val="left"/>
          <w:tab w:pos="8852" w:val="left"/>
        </w:tabs>
        <w:autoSpaceDE w:val="0"/>
        <w:widowControl/>
        <w:spacing w:line="236" w:lineRule="exact" w:before="0" w:after="0"/>
        <w:ind w:left="220" w:right="144" w:firstLine="0"/>
        <w:jc w:val="left"/>
      </w:pPr>
      <w:r>
        <w:rPr>
          <w:rFonts w:ascii="CMBX10" w:hAnsi="CMBX10" w:eastAsia="CMBX10"/>
          <w:b/>
          <w:i w:val="0"/>
          <w:color w:val="000000"/>
          <w:sz w:val="20"/>
        </w:rPr>
        <w:t xml:space="preserve">High-Performance Computing Cluster for Financial Modeling </w:t>
      </w:r>
      <w:r>
        <w:rPr>
          <w:rFonts w:ascii="CMTI10" w:hAnsi="CMTI10" w:eastAsia="CMTI10"/>
          <w:b w:val="0"/>
          <w:i/>
          <w:color w:val="000000"/>
          <w:sz w:val="22"/>
        </w:rPr>
        <w:t>Sep 2023-Dec 2023</w:t>
      </w:r>
      <w:r>
        <w:tab/>
      </w: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Designed and implemented a high-performance computing cluster using Kubernetes, enabling a 5x speedup in </w:t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complex financial model simulations.</w:t>
      </w:r>
    </w:p>
    <w:p>
      <w:pPr>
        <w:autoSpaceDN w:val="0"/>
        <w:autoSpaceDE w:val="0"/>
        <w:widowControl/>
        <w:spacing w:line="220" w:lineRule="exact" w:before="12" w:after="0"/>
        <w:ind w:left="514" w:right="0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Successfully deployed and managed the cluster, achieving 99.99% uptime, reducing model processing time by 80%.</w:t>
      </w:r>
    </w:p>
    <w:p>
      <w:pPr>
        <w:autoSpaceDN w:val="0"/>
        <w:autoSpaceDE w:val="0"/>
        <w:widowControl/>
        <w:spacing w:line="178" w:lineRule="exact" w:before="66" w:after="46"/>
        <w:ind w:left="4" w:right="0" w:firstLine="0"/>
        <w:jc w:val="left"/>
      </w:pPr>
      <w:r>
        <w:rPr>
          <w:rFonts w:ascii="CMBX9" w:hAnsi="CMBX9" w:eastAsia="CMBX9"/>
          <w:b/>
          <w:i w:val="0"/>
          <w:color w:val="000000"/>
          <w:sz w:val="18"/>
        </w:rPr>
        <w:t>ACTIVITIES AND LEADERSHIP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414"/>
        <w:gridCol w:w="5414"/>
      </w:tblGrid>
      <w:tr>
        <w:trPr>
          <w:trHeight w:hRule="exact" w:val="762"/>
        </w:trPr>
        <w:tc>
          <w:tcPr>
            <w:tcW w:type="dxa" w:w="7924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14" w:val="left"/>
              </w:tabs>
              <w:autoSpaceDE w:val="0"/>
              <w:widowControl/>
              <w:spacing w:line="190" w:lineRule="exact" w:before="124" w:after="0"/>
              <w:ind w:left="220" w:right="576" w:firstLine="0"/>
              <w:jc w:val="left"/>
            </w:pPr>
            <w:r>
              <w:rPr>
                <w:rFonts w:ascii="CMBX10" w:hAnsi="CMBX10" w:eastAsia="CMBX10"/>
                <w:b/>
                <w:i w:val="0"/>
                <w:color w:val="000000"/>
                <w:sz w:val="22"/>
              </w:rPr>
              <w:t>University of Dayton</w:t>
            </w:r>
            <w:r>
              <w:br/>
            </w:r>
            <w:r>
              <w:tab/>
            </w:r>
            <w:r>
              <w:rPr>
                <w:rFonts w:ascii="CMSY6" w:hAnsi="CMSY6" w:eastAsia="CMSY6"/>
                <w:b w:val="0"/>
                <w:i/>
                <w:color w:val="000000"/>
                <w:sz w:val="12"/>
              </w:rPr>
              <w:t>•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 xml:space="preserve"> Teaching Assitant, CPS 501 (Advanced Programming and Data Structures)</w:t>
            </w:r>
          </w:p>
          <w:p>
            <w:pPr>
              <w:autoSpaceDN w:val="0"/>
              <w:autoSpaceDE w:val="0"/>
              <w:widowControl/>
              <w:spacing w:line="222" w:lineRule="exact" w:before="10" w:after="0"/>
              <w:ind w:left="514" w:right="0" w:firstLine="0"/>
              <w:jc w:val="left"/>
            </w:pPr>
            <w:r>
              <w:rPr>
                <w:rFonts w:ascii="CMSY6" w:hAnsi="CMSY6" w:eastAsia="CMSY6"/>
                <w:b w:val="0"/>
                <w:i/>
                <w:color w:val="000000"/>
                <w:sz w:val="12"/>
              </w:rPr>
              <w:t>•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 xml:space="preserve"> Secretary, Indian Student Association (100+ members)</w:t>
            </w:r>
          </w:p>
        </w:tc>
        <w:tc>
          <w:tcPr>
            <w:tcW w:type="dxa" w:w="2884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172" w:val="left"/>
              </w:tabs>
              <w:autoSpaceDE w:val="0"/>
              <w:widowControl/>
              <w:spacing w:line="190" w:lineRule="exact" w:before="124" w:after="0"/>
              <w:ind w:left="618" w:right="0" w:firstLine="0"/>
              <w:jc w:val="left"/>
            </w:pPr>
            <w:r>
              <w:rPr>
                <w:rFonts w:ascii="CMBX10" w:hAnsi="CMBX10" w:eastAsia="CMBX10"/>
                <w:b/>
                <w:i w:val="0"/>
                <w:color w:val="000000"/>
                <w:sz w:val="22"/>
              </w:rPr>
              <w:t xml:space="preserve">Dayton, Ohio, USA </w:t>
            </w:r>
            <w:r>
              <w:tab/>
            </w:r>
            <w:r>
              <w:rPr>
                <w:rFonts w:ascii="CMTI10" w:hAnsi="CMTI10" w:eastAsia="CMTI10"/>
                <w:b w:val="0"/>
                <w:i/>
                <w:color w:val="000000"/>
                <w:sz w:val="20"/>
              </w:rPr>
              <w:t>Jan 2024-Apr 2024</w:t>
            </w:r>
          </w:p>
          <w:p>
            <w:pPr>
              <w:autoSpaceDN w:val="0"/>
              <w:autoSpaceDE w:val="0"/>
              <w:widowControl/>
              <w:spacing w:line="200" w:lineRule="exact" w:before="32" w:after="0"/>
              <w:ind w:left="0" w:right="32" w:firstLine="0"/>
              <w:jc w:val="right"/>
            </w:pPr>
            <w:r>
              <w:rPr>
                <w:rFonts w:ascii="CMTI10" w:hAnsi="CMTI10" w:eastAsia="CMTI10"/>
                <w:b w:val="0"/>
                <w:i/>
                <w:color w:val="000000"/>
                <w:sz w:val="20"/>
              </w:rPr>
              <w:t>Aug 2023-Apr 2024</w:t>
            </w:r>
          </w:p>
        </w:tc>
      </w:tr>
    </w:tbl>
    <w:p>
      <w:pPr>
        <w:autoSpaceDN w:val="0"/>
        <w:autoSpaceDE w:val="0"/>
        <w:widowControl/>
        <w:spacing w:line="180" w:lineRule="exact" w:before="18" w:after="0"/>
        <w:ind w:left="4" w:right="0" w:firstLine="0"/>
        <w:jc w:val="left"/>
      </w:pPr>
      <w:r>
        <w:rPr>
          <w:rFonts w:ascii="CMBX9" w:hAnsi="CMBX9" w:eastAsia="CMBX9"/>
          <w:b/>
          <w:i w:val="0"/>
          <w:color w:val="000000"/>
          <w:sz w:val="18"/>
        </w:rPr>
        <w:t>SKILLS</w:t>
      </w:r>
    </w:p>
    <w:p>
      <w:pPr>
        <w:autoSpaceDN w:val="0"/>
        <w:autoSpaceDE w:val="0"/>
        <w:widowControl/>
        <w:spacing w:line="192" w:lineRule="exact" w:before="158" w:after="0"/>
        <w:ind w:left="220" w:right="4608" w:firstLine="0"/>
        <w:jc w:val="left"/>
      </w:pPr>
      <w:r>
        <w:rPr>
          <w:rFonts w:ascii="CMBX10" w:hAnsi="CMBX10" w:eastAsia="CMBX10"/>
          <w:b/>
          <w:i w:val="0"/>
          <w:color w:val="000000"/>
          <w:sz w:val="20"/>
        </w:rPr>
        <w:t>Languages: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Python, Java, C++, C, JavaScript, Kotlin </w:t>
      </w:r>
      <w:r>
        <w:br/>
      </w:r>
      <w:r>
        <w:rPr>
          <w:rFonts w:ascii="CMBX10" w:hAnsi="CMBX10" w:eastAsia="CMBX10"/>
          <w:b/>
          <w:i w:val="0"/>
          <w:color w:val="000000"/>
          <w:sz w:val="20"/>
        </w:rPr>
        <w:t>Frontend: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HTML, CSS, ReactJS, AJAX </w:t>
      </w:r>
      <w:r>
        <w:br/>
      </w:r>
      <w:r>
        <w:rPr>
          <w:rFonts w:ascii="CMBX10" w:hAnsi="CMBX10" w:eastAsia="CMBX10"/>
          <w:b/>
          <w:i w:val="0"/>
          <w:color w:val="000000"/>
          <w:sz w:val="20"/>
        </w:rPr>
        <w:t>Backend Frameworks: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SpringBoot, NodeJS </w:t>
      </w:r>
      <w:r>
        <w:br/>
      </w:r>
      <w:r>
        <w:rPr>
          <w:rFonts w:ascii="CMBX10" w:hAnsi="CMBX10" w:eastAsia="CMBX10"/>
          <w:b/>
          <w:i w:val="0"/>
          <w:color w:val="000000"/>
          <w:sz w:val="20"/>
        </w:rPr>
        <w:t>Database: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MySQL, MongoDB, Postgres </w:t>
      </w:r>
      <w:r>
        <w:br/>
      </w:r>
      <w:r>
        <w:rPr>
          <w:rFonts w:ascii="CMBX10" w:hAnsi="CMBX10" w:eastAsia="CMBX10"/>
          <w:b/>
          <w:i w:val="0"/>
          <w:color w:val="000000"/>
          <w:sz w:val="20"/>
        </w:rPr>
        <w:t>Automation: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Appium, Selenium, Cucumber BDD, Jenkins, JUnit </w:t>
      </w:r>
      <w:r>
        <w:rPr>
          <w:rFonts w:ascii="CMBX10" w:hAnsi="CMBX10" w:eastAsia="CMBX10"/>
          <w:b/>
          <w:i w:val="0"/>
          <w:color w:val="000000"/>
          <w:sz w:val="20"/>
        </w:rPr>
        <w:t>AI &amp; ML: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PyTorch, TensorFlow, Jupyter, OpenCV, LLMs(GPT)</w:t>
      </w:r>
    </w:p>
    <w:sectPr w:rsidR="00FC693F" w:rsidRPr="0006063C" w:rsidSect="00034616">
      <w:type w:val="continuous"/>
      <w:pgSz w:w="12240" w:h="15840"/>
      <w:pgMar w:top="358" w:right="696" w:bottom="288" w:left="716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