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Yashwanth Raj Tirupati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4.00000000000006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10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36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(937)-469-9700</w:t>
            </w:r>
          </w:p>
        </w:tc>
        <w:tc>
          <w:tcPr>
            <w:tcW w:type="dxa" w:w="223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tyashwanth99@gmail.com</w:t>
            </w:r>
          </w:p>
        </w:tc>
        <w:tc>
          <w:tcPr>
            <w:tcW w:type="dxa" w:w="347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linkedin.com/in/yashwanthtirupati</w:t>
            </w:r>
          </w:p>
        </w:tc>
        <w:tc>
          <w:tcPr>
            <w:tcW w:type="dxa" w:w="214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72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10" w:after="0"/>
        <w:ind w:left="22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Highly skilled Oracle DBA with 2+ years of experience in database management, performance optimization, and ETL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development. Proven ability to install, configure, maintain, and optimize Oracle databases, ensuring reliability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performance. Expertise in designing, developing, and maintaining ETL processes for seamless data integration. Adept at </w:t>
      </w:r>
      <w:r>
        <w:rPr>
          <w:rFonts w:ascii="CMR10" w:hAnsi="CMR10" w:eastAsia="CMR10"/>
          <w:b w:val="0"/>
          <w:i w:val="0"/>
          <w:color w:val="000000"/>
          <w:sz w:val="20"/>
        </w:rPr>
        <w:t>query optimization, indexing strategies, and package/stored procedure development.</w:t>
      </w:r>
    </w:p>
    <w:p>
      <w:pPr>
        <w:autoSpaceDN w:val="0"/>
        <w:autoSpaceDE w:val="0"/>
        <w:widowControl/>
        <w:spacing w:line="180" w:lineRule="exact" w:before="86" w:after="9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p>
      <w:pPr>
        <w:sectPr>
          <w:pgSz w:w="12240" w:h="15840"/>
          <w:pgMar w:top="358" w:right="696" w:bottom="2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220" w:right="288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University of Dayton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M.S. in Computer Science</w:t>
      </w:r>
    </w:p>
    <w:p>
      <w:pPr>
        <w:sectPr>
          <w:type w:val="continuous"/>
          <w:pgSz w:w="12240" w:h="15840"/>
          <w:pgMar w:top="358" w:right="696" w:bottom="294" w:left="716" w:header="720" w:footer="720" w:gutter="0"/>
          <w:cols w:num="2" w:equalWidth="0">
            <w:col w:w="5536" w:space="0"/>
            <w:col w:w="5292" w:space="0"/>
          </w:cols>
          <w:docGrid w:linePitch="360"/>
        </w:sectPr>
      </w:pPr>
    </w:p>
    <w:p>
      <w:pPr>
        <w:autoSpaceDN w:val="0"/>
        <w:tabs>
          <w:tab w:pos="3244" w:val="left"/>
        </w:tabs>
        <w:autoSpaceDE w:val="0"/>
        <w:widowControl/>
        <w:spacing w:line="242" w:lineRule="exact" w:before="0" w:after="32"/>
        <w:ind w:left="3006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Dayton, Ohio, USA 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Aug 2023 - May 2025</w:t>
      </w:r>
    </w:p>
    <w:p>
      <w:pPr>
        <w:sectPr>
          <w:type w:val="nextColumn"/>
          <w:pgSz w:w="12240" w:h="15840"/>
          <w:pgMar w:top="358" w:right="696" w:bottom="294" w:left="716" w:header="720" w:footer="720" w:gutter="0"/>
          <w:cols w:num="2" w:equalWidth="0">
            <w:col w:w="5536" w:space="0"/>
            <w:col w:w="5292" w:space="0"/>
          </w:cols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Concentrations: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Autonomous Systems and Data Science</w:t>
      </w:r>
      <w:r>
        <w:br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GPA: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3.41/4.00</w:t>
      </w:r>
      <w:r>
        <w:br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Related Coursework: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Data Structures &amp; Algorithms, Objects &amp; Design, Virtual Reality, Machine Learning,</w:t>
      </w:r>
    </w:p>
    <w:p>
      <w:pPr>
        <w:autoSpaceDN w:val="0"/>
        <w:autoSpaceDE w:val="0"/>
        <w:widowControl/>
        <w:spacing w:line="200" w:lineRule="exact" w:before="40" w:after="92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Artificial Intelligence, Object-Oriented Programming, Algorithm Design, Advanced Computer Vision.</w:t>
      </w:r>
    </w:p>
    <w:p>
      <w:pPr>
        <w:sectPr>
          <w:type w:val="continuous"/>
          <w:pgSz w:w="12240" w:h="15840"/>
          <w:pgMar w:top="358" w:right="696" w:bottom="294" w:left="716" w:header="720" w:footer="720" w:gutter="0"/>
          <w:cols/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52" w:lineRule="exact" w:before="0" w:after="0"/>
        <w:ind w:left="220" w:right="1152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Jawaharlal Nehru Technological University </w:t>
      </w:r>
      <w:r>
        <w:rPr>
          <w:rFonts w:ascii="CMTI10" w:hAnsi="CMTI10" w:eastAsia="CMTI10"/>
          <w:b w:val="0"/>
          <w:i/>
          <w:color w:val="000000"/>
          <w:sz w:val="20"/>
        </w:rPr>
        <w:t>B.Tech. in Computer Science &amp; Engineering</w:t>
      </w:r>
      <w:r>
        <w:br/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CGPA: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7.3/10.00</w:t>
      </w:r>
    </w:p>
    <w:p>
      <w:pPr>
        <w:sectPr>
          <w:type w:val="continuous"/>
          <w:pgSz w:w="12240" w:h="15840"/>
          <w:pgMar w:top="358" w:right="696" w:bottom="294" w:left="716" w:header="720" w:footer="720" w:gutter="0"/>
          <w:cols w:num="2" w:equalWidth="0">
            <w:col w:w="6224" w:space="0"/>
            <w:col w:w="4604" w:space="0"/>
          </w:cols>
          <w:docGrid w:linePitch="360"/>
        </w:sectPr>
      </w:pPr>
    </w:p>
    <w:p>
      <w:pPr>
        <w:autoSpaceDN w:val="0"/>
        <w:tabs>
          <w:tab w:pos="2500" w:val="left"/>
        </w:tabs>
        <w:autoSpaceDE w:val="0"/>
        <w:widowControl/>
        <w:spacing w:line="244" w:lineRule="exact" w:before="0" w:after="284"/>
        <w:ind w:left="1282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Hyderabad, Telangana, India </w:t>
      </w:r>
      <w:r>
        <w:rPr>
          <w:rFonts w:ascii="CMTI10" w:hAnsi="CMTI10" w:eastAsia="CMTI10"/>
          <w:b w:val="0"/>
          <w:i/>
          <w:color w:val="000000"/>
          <w:sz w:val="20"/>
        </w:rPr>
        <w:t>June 2018 - July 2022</w:t>
      </w:r>
    </w:p>
    <w:p>
      <w:pPr>
        <w:sectPr>
          <w:type w:val="nextColumn"/>
          <w:pgSz w:w="12240" w:h="15840"/>
          <w:pgMar w:top="358" w:right="696" w:bottom="294" w:left="716" w:header="720" w:footer="720" w:gutter="0"/>
          <w:cols w:num="2" w:equalWidth="0">
            <w:col w:w="6224" w:space="0"/>
            <w:col w:w="4604" w:space="0"/>
          </w:cols>
          <w:docGrid w:linePitch="360"/>
        </w:sectPr>
      </w:pPr>
    </w:p>
    <w:p>
      <w:pPr>
        <w:autoSpaceDN w:val="0"/>
        <w:tabs>
          <w:tab w:pos="700" w:val="left"/>
        </w:tabs>
        <w:autoSpaceDE w:val="0"/>
        <w:widowControl/>
        <w:spacing w:line="230" w:lineRule="exact" w:before="0" w:after="0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Related Coursework: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Operating Systems, Database Management Systems, Computer Networks, Discrete </w:t>
      </w:r>
      <w:r>
        <w:rPr>
          <w:rFonts w:ascii="CMR10" w:hAnsi="CMR10" w:eastAsia="CMR10"/>
          <w:b w:val="0"/>
          <w:i w:val="0"/>
          <w:color w:val="000000"/>
          <w:sz w:val="20"/>
        </w:rPr>
        <w:t>Mathematics, Web Technologies, Software Engineering.</w:t>
      </w:r>
    </w:p>
    <w:p>
      <w:pPr>
        <w:autoSpaceDN w:val="0"/>
        <w:autoSpaceDE w:val="0"/>
        <w:widowControl/>
        <w:spacing w:line="178" w:lineRule="exact" w:before="6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02"/>
        </w:trPr>
        <w:tc>
          <w:tcPr>
            <w:tcW w:type="dxa" w:w="56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220" w:right="1872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Cognizant Technology Solutions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Software Developer</w:t>
            </w:r>
          </w:p>
        </w:tc>
        <w:tc>
          <w:tcPr>
            <w:tcW w:type="dxa" w:w="51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44" w:val="left"/>
              </w:tabs>
              <w:autoSpaceDE w:val="0"/>
              <w:widowControl/>
              <w:spacing w:line="268" w:lineRule="exact" w:before="46" w:after="0"/>
              <w:ind w:left="1948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Chennai, Tamil Nadu, India </w:t>
            </w:r>
            <w:r>
              <w:tab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March 2023 - Aug 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0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deployed full-stack features for enterprise systems using Java and modern front-end frameworks, </w:t>
      </w:r>
      <w:r>
        <w:rPr>
          <w:rFonts w:ascii="CMR10" w:hAnsi="CMR10" w:eastAsia="CMR10"/>
          <w:b w:val="0"/>
          <w:i w:val="0"/>
          <w:color w:val="000000"/>
          <w:sz w:val="20"/>
        </w:rPr>
        <w:t>resulting in improved system scalability and maintainability.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0" w:after="92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stakeholders to translate user requirements into technical specifications, delivering robust </w:t>
      </w:r>
      <w:r>
        <w:rPr>
          <w:rFonts w:ascii="CMR10" w:hAnsi="CMR10" w:eastAsia="CMR10"/>
          <w:b w:val="0"/>
          <w:i w:val="0"/>
          <w:color w:val="000000"/>
          <w:sz w:val="20"/>
        </w:rPr>
        <w:t>solutions within an Agile environment and improving API response times by 15%.</w:t>
      </w:r>
    </w:p>
    <w:p>
      <w:pPr>
        <w:sectPr>
          <w:type w:val="continuous"/>
          <w:pgSz w:w="12240" w:h="15840"/>
          <w:pgMar w:top="358" w:right="696" w:bottom="2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220" w:right="1872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Cognizant Technology Solutions </w:t>
      </w:r>
      <w:r>
        <w:rPr>
          <w:rFonts w:ascii="CMTI10" w:hAnsi="CMTI10" w:eastAsia="CMTI10"/>
          <w:b w:val="0"/>
          <w:i/>
          <w:color w:val="000000"/>
          <w:sz w:val="20"/>
        </w:rPr>
        <w:t>Programmer Analyst Intern</w:t>
      </w:r>
    </w:p>
    <w:p>
      <w:pPr>
        <w:sectPr>
          <w:type w:val="continuous"/>
          <w:pgSz w:w="12240" w:h="15840"/>
          <w:pgMar w:top="358" w:right="696" w:bottom="294" w:left="716" w:header="720" w:footer="720" w:gutter="0"/>
          <w:cols w:num="2" w:equalWidth="0">
            <w:col w:w="5670" w:space="0"/>
            <w:col w:w="5158" w:space="0"/>
          </w:cols>
          <w:docGrid w:linePitch="360"/>
        </w:sectPr>
      </w:pPr>
    </w:p>
    <w:p>
      <w:pPr>
        <w:autoSpaceDN w:val="0"/>
        <w:tabs>
          <w:tab w:pos="3052" w:val="left"/>
        </w:tabs>
        <w:autoSpaceDE w:val="0"/>
        <w:widowControl/>
        <w:spacing w:line="242" w:lineRule="exact" w:before="0" w:after="42"/>
        <w:ind w:left="1942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Chennai, Tamil Nadu, India </w:t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March 2022-Sept 2022</w:t>
      </w:r>
    </w:p>
    <w:p>
      <w:pPr>
        <w:sectPr>
          <w:type w:val="nextColumn"/>
          <w:pgSz w:w="12240" w:h="15840"/>
          <w:pgMar w:top="358" w:right="696" w:bottom="294" w:left="716" w:header="720" w:footer="720" w:gutter="0"/>
          <w:cols w:num="2" w:equalWidth="0">
            <w:col w:w="5670" w:space="0"/>
            <w:col w:w="5158" w:space="0"/>
          </w:cols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Identified and resolved bugs in enterprise applications, reducing reported issues by 10% for key modules.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code quality and reliability by authoring technical documentation and enhancing test automation.</w:t>
      </w:r>
    </w:p>
    <w:p>
      <w:pPr>
        <w:autoSpaceDN w:val="0"/>
        <w:autoSpaceDE w:val="0"/>
        <w:widowControl/>
        <w:spacing w:line="178" w:lineRule="exact" w:before="86" w:after="4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70"/>
        </w:trPr>
        <w:tc>
          <w:tcPr>
            <w:tcW w:type="dxa" w:w="70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Oracle Database Performance Optimization Project</w:t>
            </w:r>
          </w:p>
        </w:tc>
        <w:tc>
          <w:tcPr>
            <w:tcW w:type="dxa" w:w="37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4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Jan 2024-May 2025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0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Optimized Oracle database performance by 20% by implementing advanced indexing strategies and query tuning </w:t>
      </w:r>
      <w:r>
        <w:rPr>
          <w:rFonts w:ascii="CMR10" w:hAnsi="CMR10" w:eastAsia="CMR10"/>
          <w:b w:val="0"/>
          <w:i w:val="0"/>
          <w:color w:val="000000"/>
          <w:sz w:val="20"/>
        </w:rPr>
        <w:t>techniques, resulting in significant improvements in application response times.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0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Reduced database downtime by 15% through the implementation of robust backup and recovery procedures and </w:t>
      </w:r>
      <w:r>
        <w:rPr>
          <w:rFonts w:ascii="CMR10" w:hAnsi="CMR10" w:eastAsia="CMR10"/>
          <w:b w:val="0"/>
          <w:i w:val="0"/>
          <w:color w:val="000000"/>
          <w:sz w:val="20"/>
        </w:rPr>
        <w:t>proactive monitoring.</w:t>
      </w:r>
    </w:p>
    <w:p>
      <w:pPr>
        <w:autoSpaceDN w:val="0"/>
        <w:tabs>
          <w:tab w:pos="514" w:val="left"/>
          <w:tab w:pos="700" w:val="left"/>
          <w:tab w:pos="8848" w:val="left"/>
        </w:tabs>
        <w:autoSpaceDE w:val="0"/>
        <w:widowControl/>
        <w:spacing w:line="242" w:lineRule="exact" w:before="0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ETL Data Integration for Warehouse System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Jun 2024 - Present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developed ETL processes using [Specific ETL Tool - mention if known, otherwise remove this phrase]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integrate data from multiple sources into a centralized data warehouse, improving data accuracy by 10%.</w:t>
      </w:r>
    </w:p>
    <w:p>
      <w:pPr>
        <w:autoSpaceDN w:val="0"/>
        <w:tabs>
          <w:tab w:pos="700" w:val="left"/>
        </w:tabs>
        <w:autoSpaceDE w:val="0"/>
        <w:widowControl/>
        <w:spacing w:line="236" w:lineRule="exact" w:before="0" w:after="0"/>
        <w:ind w:left="514" w:right="86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Increased data loading efficiency by 25% through optimization of ETL workflows and data transformation </w:t>
      </w:r>
      <w:r>
        <w:rPr>
          <w:rFonts w:ascii="CMR10" w:hAnsi="CMR10" w:eastAsia="CMR10"/>
          <w:b w:val="0"/>
          <w:i w:val="0"/>
          <w:color w:val="000000"/>
          <w:sz w:val="20"/>
        </w:rPr>
        <w:t>techniques.</w:t>
      </w:r>
    </w:p>
    <w:p>
      <w:pPr>
        <w:autoSpaceDN w:val="0"/>
        <w:tabs>
          <w:tab w:pos="514" w:val="left"/>
          <w:tab w:pos="700" w:val="left"/>
          <w:tab w:pos="8852" w:val="left"/>
        </w:tabs>
        <w:autoSpaceDE w:val="0"/>
        <w:widowControl/>
        <w:spacing w:line="242" w:lineRule="exact" w:before="0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Secure Oracle Cloud Database Migration </w:t>
      </w:r>
      <w:r>
        <w:rPr>
          <w:rFonts w:ascii="CMTI10" w:hAnsi="CMTI10" w:eastAsia="CMTI10"/>
          <w:b w:val="0"/>
          <w:i/>
          <w:color w:val="000000"/>
          <w:sz w:val="22"/>
        </w:rPr>
        <w:t>Sep 2023-Dec 2023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Successfully migrated an on-premise Oracle database to Oracle Cloud Infrastructure (OCI), enhancing security and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scalability.</w:t>
      </w:r>
    </w:p>
    <w:p>
      <w:pPr>
        <w:autoSpaceDN w:val="0"/>
        <w:autoSpaceDE w:val="0"/>
        <w:widowControl/>
        <w:spacing w:line="220" w:lineRule="exact" w:before="16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robust security measures, reducing the risk of data breaches by 10% during the migration.</w:t>
      </w:r>
    </w:p>
    <w:p>
      <w:pPr>
        <w:autoSpaceDN w:val="0"/>
        <w:autoSpaceDE w:val="0"/>
        <w:widowControl/>
        <w:spacing w:line="178" w:lineRule="exact" w:before="86" w:after="4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ACTIVITIES AND LEADERSHIP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782"/>
        </w:trPr>
        <w:tc>
          <w:tcPr>
            <w:tcW w:type="dxa" w:w="79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4" w:val="left"/>
              </w:tabs>
              <w:autoSpaceDE w:val="0"/>
              <w:widowControl/>
              <w:spacing w:line="196" w:lineRule="exact" w:before="118" w:after="0"/>
              <w:ind w:left="220" w:right="57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>University of Dayton</w:t>
            </w:r>
            <w:r>
              <w:br/>
            </w:r>
            <w:r>
              <w:tab/>
            </w: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•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Teaching Assitant, CPS 501 (Advanced Programming and Data Structures)</w:t>
            </w:r>
          </w:p>
          <w:p>
            <w:pPr>
              <w:autoSpaceDN w:val="0"/>
              <w:autoSpaceDE w:val="0"/>
              <w:widowControl/>
              <w:spacing w:line="220" w:lineRule="exact" w:before="16" w:after="0"/>
              <w:ind w:left="514" w:right="0" w:firstLine="0"/>
              <w:jc w:val="left"/>
            </w:pP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•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Secretary, Indian Student Association (100+ members)</w:t>
            </w:r>
          </w:p>
        </w:tc>
        <w:tc>
          <w:tcPr>
            <w:tcW w:type="dxa" w:w="28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72" w:val="left"/>
              </w:tabs>
              <w:autoSpaceDE w:val="0"/>
              <w:widowControl/>
              <w:spacing w:line="196" w:lineRule="exact" w:before="118" w:after="0"/>
              <w:ind w:left="618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Dayton, Ohio, USA </w:t>
            </w:r>
            <w:r>
              <w:tab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Jan 2024-Apr 2024</w:t>
            </w:r>
          </w:p>
          <w:p>
            <w:pPr>
              <w:autoSpaceDN w:val="0"/>
              <w:autoSpaceDE w:val="0"/>
              <w:widowControl/>
              <w:spacing w:line="200" w:lineRule="exact" w:before="36" w:after="0"/>
              <w:ind w:left="0" w:right="3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Aug 2023-Apr 2024</w:t>
            </w:r>
          </w:p>
        </w:tc>
      </w:tr>
    </w:tbl>
    <w:p>
      <w:pPr>
        <w:autoSpaceDN w:val="0"/>
        <w:autoSpaceDE w:val="0"/>
        <w:widowControl/>
        <w:spacing w:line="178" w:lineRule="exact" w:before="30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196" w:lineRule="exact" w:before="156" w:after="0"/>
        <w:ind w:left="220" w:right="4608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Python, Java, C++, C, JavaScript, Kotlin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Frontend: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HTML, CSS, ReactJS, AJAX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Backend Frameworks: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SpringBoot, NodeJS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Database: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MySQL, MongoDB, Postgres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Automation: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Appium, Selenium, Cucumber BDD, Jenkins, JUnit </w:t>
      </w:r>
      <w:r>
        <w:rPr>
          <w:rFonts w:ascii="CMBX10" w:hAnsi="CMBX10" w:eastAsia="CMBX10"/>
          <w:b/>
          <w:i w:val="0"/>
          <w:color w:val="000000"/>
          <w:sz w:val="20"/>
        </w:rPr>
        <w:t>AI &amp; ML: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PyTorch, TensorFlow, Jupyter, OpenCV, LLMs(GPT)</w:t>
      </w:r>
    </w:p>
    <w:sectPr w:rsidR="00FC693F" w:rsidRPr="0006063C" w:rsidSect="00034616">
      <w:type w:val="continuous"/>
      <w:pgSz w:w="12240" w:h="15840"/>
      <w:pgMar w:top="358" w:right="696" w:bottom="294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