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FADY MAMDOUH ELGAMIL</w:t>
      </w:r>
    </w:p>
    <w:p>
      <w:pPr>
        <w:spacing w:after="50"/>
        <w:jc w:val="center"/>
      </w:pPr>
      <w:r>
        <w:rPr>
          <w:rFonts w:ascii="Calibri" w:cs="Calibri" w:eastAsia="Calibri" w:hAnsi="Calibri"/>
          <w:i/>
          <w:iCs/>
          <w:color w:val="555555"/>
          <w:sz w:val="21"/>
          <w:szCs w:val="21"/>
        </w:rPr>
        <w:t xml:space="preserve">Mechatronics Engineer | Industrial Automation &amp; AI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333333"/>
          <w:sz w:val="18"/>
          <w:szCs w:val="18"/>
        </w:rPr>
        <w:t xml:space="preserve">+20 106 557 0487  |  Sohag, Egypt  |  fadymamdouh1234@gmail.com  |  </w:t>
      </w:r>
      <w:hyperlink w:history="1" r:id="rIdgpe9gp245wkl8p3euzwpn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kcn5d7m5tv2kguqotr2ye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333333"/>
          <w:sz w:val="18"/>
          <w:szCs w:val="18"/>
        </w:rPr>
        <w:t xml:space="preserve">  |  </w:t>
      </w:r>
      <w:hyperlink w:history="1" r:id="rIdtfuv8nzqzyeixetm5j5vy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Portfolio</w:t>
        </w:r>
      </w:hyperlink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30" w:line="24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Mechatronics Engineer specializing in Industrial Automation, Control Systems, and PLC Integration, with hands-on experience building Industry 4.0 cyber-physical systems that merge embedded control, real-time monitoring, and Industrial AI for predictive maintenance and fault diagnosis.</w:t>
      </w:r>
    </w:p>
    <w:p>
      <w:pPr>
        <w:spacing w:after="30" w:line="24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USAID Scholar and Middle Tennessee State University (MTSU) exchange alumnus, with international academic experience in advanced mechatronics systems.</w:t>
      </w:r>
    </w:p>
    <w:p>
      <w:pPr>
        <w:spacing w:after="0" w:line="24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Microsoft AI &amp; Machine Learning Engineer (DEPI) graduate, driven to build intelligent manufacturing and automation solutions.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 of Engineering in Mechatronics and Robotics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Sep 2021 – Jul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Assiut University, Egypt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Graduation Project: SAPRS — PLC-Controlled Manufacturing System with Industrial AI for Predictive Maintenance &amp; Fault Diagnosis (A-)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ACADEMIC HONORS &amp; INTERNATIONAL EXPERIENCE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USAID Scholar (2021–2026):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competitively selected for a fully funded, multi-year scholarship covering academic development, international exchange, English training, leadership, and entrepreneurship; maintained active status for 4+ consecutive years.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MTSU Exchange, USA (Aug–Dec 2024):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selected for a fully funded international exchange semester at Middle Tennessee State University, gaining specialized knowledge in advanced mechatronics systems.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AUC English Program (2021–2024):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470 hours of intensive Academic English instruction under USAID funding, achieving B2 proficiency and IELTS preparation.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Industrial Automation: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Siemens S7-1200 • Delta PLC • TIA Portal • Node-RED • HMI • Industrial IoT • SCADA/Historian • Real-Time Monitoring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Mechatronics Engineering: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Control Systems • Sensors &amp; Actuators • Servo/Stepper Motors • Motor Control • Robotics • Autonomous Navigation • Cyber-Physical Systems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Embedded Systems: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Raspberry Pi • Arduino • PIC Microcontrollers • Real-Time Systems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Python • C++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AI &amp; Machine Learning: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TensorFlow • Scikit-learn • NumPy • Pandas • Deep Learning • Computer Vision • NLP • Predictive Maintenance • Anomaly Detection • Sensor Fusion • Explainable AI • Prompt Engineering • Azure AI Fundamentals/Engineer Associate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Backend Development: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FastAPI • REST APIs • WebSockets • SQLite • Data Pipelines • Data Validation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CAD &amp; Simulation: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SOLIDWORKS (CSWA) • MATLAB/Simulink • AutoCAD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Engineering &amp; AI Tools: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MLOps (MLflow, Hugging Face) • Microsoft Office (Word, Excel, PowerPoint)</w:t>
      </w:r>
    </w:p>
    <w:p>
      <w:pPr>
        <w:spacing w:after="0" w:line="240"/>
      </w:pPr>
      <w:r>
        <w:rPr>
          <w:rFonts w:ascii="Calibri" w:cs="Calibri" w:eastAsia="Calibri" w:hAnsi="Calibri"/>
          <w:b/>
          <w:bCs/>
          <w:color w:val="333333"/>
          <w:sz w:val="19"/>
          <w:szCs w:val="19"/>
        </w:rPr>
        <w:t xml:space="preserve">Version Control: </w:t>
      </w:r>
      <w:r>
        <w:rPr>
          <w:rFonts w:ascii="Calibri" w:cs="Calibri" w:eastAsia="Calibri" w:hAnsi="Calibri"/>
          <w:color w:val="333333"/>
          <w:sz w:val="19"/>
          <w:szCs w:val="19"/>
        </w:rPr>
        <w:t xml:space="preserve">Git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PROJECTS</w:t>
      </w:r>
    </w:p>
    <w:p>
      <w:pPr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SAPRS — PLC-Controlled Manufacturing System with Industrial AI for Predictive Maintenance &amp; Fault Diagnosis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Flagship Graduation Project, Assiut University, Egypt  |  Sep 2025 – Jul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333333"/>
          <w:sz w:val="18"/>
          <w:szCs w:val="18"/>
        </w:rPr>
        <w:t xml:space="preserve">Tech Stack: </w:t>
      </w:r>
      <w:r>
        <w:rPr>
          <w:rFonts w:ascii="Calibri" w:cs="Calibri" w:eastAsia="Calibri" w:hAnsi="Calibri"/>
          <w:color w:val="333333"/>
          <w:sz w:val="18"/>
          <w:szCs w:val="18"/>
        </w:rPr>
        <w:t xml:space="preserve">Python • FastAPI • Siemens S7-1200 • TIA Portal • Node-RED • SQLite • Scikit-learn • REST APIs • WebSockets • HTML • CSS • Tailwind • JavaScript • Git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and integrated a PLC-controlled Industry 4.0 manufacturing system combining industrial automation, embedded control, real-time monitoring, and AI for predictive maintenance and fault diagnosis.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real-time PLC-to-Node-RED communication via TIA Portal logic for reliable telemetry acquisition (motor current, position states, cycle counters, e-stop signals) and sensor/actuator integration.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FastAPI backend (REST APIs, WebSockets) with a structured data validation pipeline, delivering low-latency telemetry to a responsive dashboard (HTML, CSS, Tailwind, JS) and a SQLite Historian for indexed analytics.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 Machine Learning predictive maintenance module (Scikit-learn) using sensor fusion and unsupervised anomaly detection, feeding a Health Index Engine for digital twin health scoring.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 fault diagnosis knowledge base mapping Siemens PLC fault codes (PID_Compact, Motion Control) to structured root-cause reasoning, combined with a rules-based AI Decision and Evidence Engine for actionable maintenance decisions.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Explainable AI Copilot for natural-language operator queries and authored a formal telemetry data contract standardizing validation across the PLC-to-AI-to-dashboard pipeline, with full Git-based version control.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AI-Powered Autonomous Grass Cutter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Personal Project  |  SOLIDWORKS • Raspberry Pi • Computer Vision • Machine Learning • MATLAB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a custom mechanical chassis with high-efficiency cutting blades in SOLIDWORKS, integrated with a Raspberry Pi-based embedded control system.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computer vision-based autonomous navigation and ML-based path planning, using MATLAB kinematics simulations to improve speed and power efficiency.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Control Systems Simulator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Personal Project  |  MATLAB • Simulink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a digital PID controller in MATLAB/Simulink to enhance system stability.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Analyzed transient response to optimize gains and minimize steady-state error.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IoT-Based Temperature Monitoring System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Personal Project  |  Arduino • Sensors • Electronic Circuits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an Arduino-based system for wireless real-time sensor data transmission.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Integrated electronic circuits and sensors for accurate temperature monitoring.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Microsoft AI &amp; Machine Learning Engineer Graduate | DEPI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2025 – 2026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Digital Egypt Pioneers Initiative (DEPI) — Ministry of Communications and Information Technology (MCIT), Egypt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Key Topics: Python, statistics, ML, deep learning, NLP, computer vision, transfer learning, prompt engineering, capstone project, MLOps (MLflow, Hugging Face).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Applied Python-based predictive models and AI/ML algorithms to real-world mechatronics and robotics challenges.</w:t>
      </w:r>
    </w:p>
    <w:p>
      <w:pPr>
        <w:pStyle w:val="ListParagraph"/>
        <w:numPr>
          <w:ilvl w:val="0"/>
          <w:numId w:val="1"/>
        </w:numPr>
        <w:spacing w:after="0" w:before="4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Azure AI Fundamentals</w:t>
      </w:r>
    </w:p>
    <w:p>
      <w:pPr>
        <w:pStyle w:val="ListParagraph"/>
        <w:numPr>
          <w:ilvl w:val="0"/>
          <w:numId w:val="1"/>
        </w:numPr>
        <w:spacing w:after="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Azure AI Engineer Associate</w:t>
      </w:r>
    </w:p>
    <w:p>
      <w:pPr>
        <w:pStyle w:val="ListParagraph"/>
        <w:numPr>
          <w:ilvl w:val="0"/>
          <w:numId w:val="1"/>
        </w:numPr>
        <w:spacing w:after="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CSWA — Certified SOLIDWORKS Associate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DEVELOPMENT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Leadership &amp; Skills Development Program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Aug–Sep, Annually 2021 – 2024</w:t>
      </w:r>
    </w:p>
    <w:p>
      <w:pPr>
        <w:spacing w:after="3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Aspire Consulting International, Egypt — in collaboration with USAID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Completed structured training in leadership, communication, and professional soft skills.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LEADERSHIP &amp; VOLUNTEERING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Volunteer Member | IEEE Assiut Student Branch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Apr 2023 – 2025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Increased student engagement by 20% by organizing 3+ technical workshops and events for over 200 attendees.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Media Presentation Committee Member | ENACTUS Assiut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Jan 2023 – 2025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Secured a Top 10 national ranking among 30+ universities by coordinating technical presentation materials and communication assets across a multidisciplinary team.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HR Member | Model European Union (MEU)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Nov 2022 – 2023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Managed recruitment cycles and training sessions, ensuring smooth team operation and high engagement.</w:t>
      </w:r>
    </w:p>
    <w:p>
      <w:pPr>
        <w:tabs>
          <w:tab w:val="right" w:pos="9936"/>
        </w:tabs>
        <w:spacing w:after="10" w:before="7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HR Member | Assiut Robotics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Feb 2021 – 2023</w:t>
      </w:r>
    </w:p>
    <w:p>
      <w:pPr>
        <w:pStyle w:val="ListParagraph"/>
        <w:numPr>
          <w:ilvl w:val="0"/>
          <w:numId w:val="1"/>
        </w:numPr>
        <w:spacing w:after="30" w:line="2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Boosted internal engagement by 15% for a 50-member team through structured feedback and organizational development strategies.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SOFT SKILLS</w:t>
      </w:r>
    </w:p>
    <w:p>
      <w:pPr>
        <w:spacing w:after="0" w:line="246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Leadership • Communication • Presentation Skills • Problem Solving • Critical Thinking • Analytical Thinking • Teamwork • Time Management • Adaptability • Attention to Detail • Initiative • Accountability</w:t>
      </w:r>
    </w:p>
    <w:p>
      <w:pPr>
        <w:pStyle w:val="Heading2"/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Arabic: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Native   </w:t>
      </w: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Professional Working Proficiency (B2)</w:t>
      </w:r>
    </w:p>
    <w:sectPr>
      <w:pgSz w:w="12240" w:h="15840" w:orient="portrait"/>
      <w:pgMar w:top="480" w:right="680" w:bottom="48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pe9gp245wkl8p3euzwpn" Type="http://schemas.openxmlformats.org/officeDocument/2006/relationships/hyperlink" Target="https://www.linkedin.com/in/fady-asham" TargetMode="External"/><Relationship Id="rIdkcn5d7m5tv2kguqotr2ye" Type="http://schemas.openxmlformats.org/officeDocument/2006/relationships/hyperlink" Target="https://github.com/" TargetMode="External"/><Relationship Id="rIdtfuv8nzqzyeixetm5j5vy" Type="http://schemas.openxmlformats.org/officeDocument/2006/relationships/hyperlink" Target="https://your-portfolio-link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2026-08-05T07:28:41.974Z</dcterms:created>
  <dcterms:modified xsi:type="dcterms:W3CDTF">2026-08-05T07:28:41.974Z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