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35906FD" w:rsidR="00FE2680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3F7D2871" w:rsidR="00FE2680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11/6/22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66AEEA86" w:rsidR="00FE2680" w:rsidRDefault="00E5251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36C74B0D" w:rsidR="00FE2680" w:rsidRDefault="00E5251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55117133" w:rsidR="00FE2680" w:rsidRPr="00D20818" w:rsidRDefault="00872DA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1D3E7AAC" w:rsidR="00FE2680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BE61B7C" w:rsidR="00FE2680" w:rsidRPr="00D20818" w:rsidRDefault="00872DA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11/6/22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4EED771A" w:rsidR="00FE2680" w:rsidRPr="00D20818" w:rsidRDefault="005B5EE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12:40 - 1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375BCE51" w:rsidR="00AF797D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Testing/debugging</w:t>
      </w:r>
    </w:p>
    <w:p w14:paraId="5806BB49" w14:textId="7C0A1AA8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Lists, Tuples, Searching, </w:t>
      </w:r>
      <w:proofErr w:type="gramStart"/>
      <w:r>
        <w:t>Sorting</w:t>
      </w:r>
      <w:proofErr w:type="gramEnd"/>
      <w:r>
        <w:t xml:space="preserve"> and time complexities</w:t>
      </w:r>
    </w:p>
    <w:p w14:paraId="2AADAA79" w14:textId="13088C55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Merge sort, Quick sort, and Insertion sort</w:t>
      </w:r>
    </w:p>
    <w:p w14:paraId="49FC5FE9" w14:textId="19441A25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Dictionaries</w:t>
      </w:r>
    </w:p>
    <w:p w14:paraId="64ABBA6E" w14:textId="2C9E84A6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Dataclasses</w:t>
      </w:r>
    </w:p>
    <w:p w14:paraId="5853A3F4" w14:textId="78FD6DC9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Stacks</w:t>
      </w:r>
    </w:p>
    <w:p w14:paraId="2D69BD65" w14:textId="2C2F93C8" w:rsidR="005B5EEA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Queues</w:t>
      </w:r>
    </w:p>
    <w:p w14:paraId="3845209F" w14:textId="3250A725" w:rsidR="005B5EEA" w:rsidRPr="00001136" w:rsidRDefault="005B5EE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Linked Structures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5A6A083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Short announcements</w:t>
            </w:r>
          </w:p>
        </w:tc>
        <w:tc>
          <w:tcPr>
            <w:tcW w:w="7301" w:type="dxa"/>
          </w:tcPr>
          <w:p w14:paraId="4264ADAC" w14:textId="77777777" w:rsidR="00FC7EED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Exam is on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Monday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it starts at 10, don’t be late</w:t>
            </w:r>
          </w:p>
          <w:p w14:paraId="37A76C5F" w14:textId="7B1947E5" w:rsidR="0051143A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Project 2 will be released Monday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6B2FA0D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6AEED55A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Practice sheet and study guide</w:t>
            </w:r>
          </w:p>
        </w:tc>
        <w:tc>
          <w:tcPr>
            <w:tcW w:w="7301" w:type="dxa"/>
          </w:tcPr>
          <w:p w14:paraId="11CF426A" w14:textId="5A7466C1" w:rsid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Most of the session will be covering this sheet, so people are going to naturally split into groups, which is nice. </w:t>
            </w:r>
            <w:r w:rsidR="005B5E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I’ll give them about 20 mins to work on it in groups, then spend the next ~20 minutes going over the sheet. Give/take more time accordingly.</w:t>
            </w:r>
          </w:p>
          <w:p w14:paraId="70E81F8D" w14:textId="77777777" w:rsid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859DF56" w14:textId="57339501" w:rsidR="0051143A" w:rsidRP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Here is the solution sheet:</w:t>
            </w:r>
          </w:p>
          <w:p w14:paraId="1AD9B03D" w14:textId="77777777" w:rsidR="0051143A" w:rsidRP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https://docs.google.com/document/d/1rIoHEV6wM8o6t9KldhEIF0fkr-IVdFg1JzURIhtV7A4/edit?usp=sharing</w:t>
            </w:r>
          </w:p>
          <w:p w14:paraId="2C4AC2A8" w14:textId="77777777" w:rsidR="0051143A" w:rsidRP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B1A627D" w14:textId="77777777" w:rsidR="0051143A" w:rsidRPr="0051143A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Here is the study guide:</w:t>
            </w:r>
          </w:p>
          <w:p w14:paraId="501C8377" w14:textId="4E412120" w:rsidR="00FC7EED" w:rsidRPr="00D20818" w:rsidRDefault="0051143A" w:rsidP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https://docs.google.com/document/d/19nWrxXdvNjEGz4UCZEnNTadvP8GiYYy2j88SI_0T8xE/edit?usp=sharing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6B7E53ED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40-45</w:t>
            </w:r>
          </w:p>
        </w:tc>
      </w:tr>
    </w:tbl>
    <w:p w14:paraId="6CE47CFC" w14:textId="77777777" w:rsidR="005B5EEA" w:rsidRDefault="005B5EEA">
      <w:r>
        <w:br w:type="page"/>
      </w: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27AB2CDA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Bring some questions from old exam</w:t>
            </w:r>
          </w:p>
        </w:tc>
        <w:tc>
          <w:tcPr>
            <w:tcW w:w="7301" w:type="dxa"/>
          </w:tcPr>
          <w:p w14:paraId="37090704" w14:textId="7510B9AC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Steele’s first exam this year was nearly identical to last year’s old exam, so chances are that he is going to have a very similar 2</w:t>
            </w:r>
            <w:r w:rsidRPr="0051143A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exam.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That being said, probably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the easiest way to get them accustomed to this exam is to snag a handful of questions from this exam.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43FA5160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98C371D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51143A">
              <w:rPr>
                <w:rFonts w:asciiTheme="majorHAnsi" w:eastAsia="Times New Roman" w:hAnsiTheme="majorHAnsi" w:cstheme="majorHAnsi"/>
                <w:sz w:val="24"/>
                <w:szCs w:val="24"/>
              </w:rPr>
              <w:t>Wish everyone luck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17DC449F" w:rsidR="00FC7EED" w:rsidRPr="00D20818" w:rsidRDefault="0051143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Everyone who attended the exam took more time out of the Sunday to come and get more help for the exam. </w:t>
            </w:r>
            <w:r w:rsidR="00872DA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They should feel accomplished 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42DD867F" w:rsidR="00FC7EED" w:rsidRPr="00D20818" w:rsidRDefault="00872DA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07EC5EED" w:rsidR="00AF797D" w:rsidRPr="00D20818" w:rsidRDefault="00E7526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2FEB6BE2" w:rsidR="00D530FD" w:rsidRPr="00924A2C" w:rsidRDefault="00872DA9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You have many resources that you can utilize, try to utilize as many as you can</w:t>
      </w:r>
      <w:r w:rsidR="005B5EEA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3C97998B" w14:textId="77777777" w:rsidR="005B5EEA" w:rsidRDefault="0051143A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had 14 attendees and had multiple people email/message me about getting more help, which I found very </w:t>
      </w:r>
      <w:r w:rsidR="00872DA9">
        <w:rPr>
          <w:rFonts w:asciiTheme="majorHAnsi" w:eastAsia="Times New Roman" w:hAnsiTheme="majorHAnsi" w:cstheme="majorHAnsi"/>
          <w:sz w:val="24"/>
          <w:szCs w:val="24"/>
        </w:rPr>
        <w:t xml:space="preserve">nice, since I don’t usually get that many students per session normally. Adding onto that, I had maybe 8-12 emails asking for more help. Since it was an exam review session, </w:t>
      </w:r>
      <w:r w:rsidR="005B5EEA">
        <w:rPr>
          <w:rFonts w:asciiTheme="majorHAnsi" w:eastAsia="Times New Roman" w:hAnsiTheme="majorHAnsi" w:cstheme="majorHAnsi"/>
          <w:sz w:val="24"/>
          <w:szCs w:val="24"/>
        </w:rPr>
        <w:t>I don’t really have things I want to change, and I would like to keep everything I did. I do want to change my openers and closers though, as I feel they have been lacking recently.</w:t>
      </w:r>
    </w:p>
    <w:p w14:paraId="464E180B" w14:textId="7ED0EB9A" w:rsidR="00AF797D" w:rsidRPr="002A007A" w:rsidRDefault="005B5EEA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Also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after the session, I had my students talk to me and ask questions for about an extra half hour after the session, which felt pretty nice.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39F48355" w14:textId="49CA5DC7" w:rsidR="00CC5C1B" w:rsidRPr="00F72001" w:rsidRDefault="00E62233" w:rsidP="00CC5C1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E5251F" w:rsidRPr="00206EEF">
        <w:rPr>
          <w:sz w:val="24"/>
          <w:szCs w:val="24"/>
        </w:rPr>
        <w:t>How are you helping students to continue to be motivated and avoid procrastination this week?</w:t>
      </w:r>
      <w:r w:rsidR="00E5251F">
        <w:rPr>
          <w:sz w:val="24"/>
          <w:szCs w:val="24"/>
        </w:rPr>
        <w:t xml:space="preserve"> What helps you avoid procrastination and boost your motivation?</w:t>
      </w:r>
    </w:p>
    <w:p w14:paraId="26624835" w14:textId="0E7ED820" w:rsidR="000F564C" w:rsidRPr="00350AE1" w:rsidRDefault="00872DA9" w:rsidP="00350AE1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what I have found, motivation is hard to </w:t>
      </w:r>
      <w:r w:rsidR="005B5EEA">
        <w:rPr>
          <w:sz w:val="24"/>
          <w:szCs w:val="24"/>
        </w:rPr>
        <w:t>find,</w:t>
      </w:r>
      <w:r>
        <w:rPr>
          <w:sz w:val="24"/>
          <w:szCs w:val="24"/>
        </w:rPr>
        <w:t xml:space="preserve"> and procrastination is hard to avoid. I try to set myself tiny goals for some sense of accomplishment when completing this smaller task.</w:t>
      </w:r>
    </w:p>
    <w:sectPr w:rsidR="000F564C" w:rsidRPr="00350AE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51998" w14:textId="77777777" w:rsidR="00BD2C6A" w:rsidRDefault="00BD2C6A" w:rsidP="00D530FD">
      <w:pPr>
        <w:spacing w:after="0" w:line="240" w:lineRule="auto"/>
      </w:pPr>
      <w:r>
        <w:separator/>
      </w:r>
    </w:p>
  </w:endnote>
  <w:endnote w:type="continuationSeparator" w:id="0">
    <w:p w14:paraId="4DE48E6B" w14:textId="77777777" w:rsidR="00BD2C6A" w:rsidRDefault="00BD2C6A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5AE80A68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E75269">
      <w:rPr>
        <w:noProof/>
      </w:rPr>
      <w:t>1</w:t>
    </w:r>
    <w:r w:rsidR="00D229F5">
      <w:fldChar w:fldCharType="end"/>
    </w:r>
    <w:r>
      <w:t xml:space="preserve"> of </w:t>
    </w:r>
    <w:r w:rsidR="00000000">
      <w:fldChar w:fldCharType="begin"/>
    </w:r>
    <w:r w:rsidR="00000000">
      <w:instrText xml:space="preserve"> NUMPAGES </w:instrText>
    </w:r>
    <w:r w:rsidR="00000000">
      <w:fldChar w:fldCharType="separate"/>
    </w:r>
    <w:r w:rsidR="00E75269">
      <w:rPr>
        <w:noProof/>
      </w:rPr>
      <w:t>1</w:t>
    </w:r>
    <w:r w:rsidR="0000000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7DED5" w14:textId="77777777" w:rsidR="00BD2C6A" w:rsidRDefault="00BD2C6A" w:rsidP="00D530FD">
      <w:pPr>
        <w:spacing w:after="0" w:line="240" w:lineRule="auto"/>
      </w:pPr>
      <w:r>
        <w:separator/>
      </w:r>
    </w:p>
  </w:footnote>
  <w:footnote w:type="continuationSeparator" w:id="0">
    <w:p w14:paraId="58C70FC9" w14:textId="77777777" w:rsidR="00BD2C6A" w:rsidRDefault="00BD2C6A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21E0C"/>
    <w:multiLevelType w:val="hybridMultilevel"/>
    <w:tmpl w:val="3994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5686234">
    <w:abstractNumId w:val="0"/>
  </w:num>
  <w:num w:numId="2" w16cid:durableId="1883056846">
    <w:abstractNumId w:val="3"/>
  </w:num>
  <w:num w:numId="3" w16cid:durableId="253514193">
    <w:abstractNumId w:val="2"/>
  </w:num>
  <w:num w:numId="4" w16cid:durableId="1624464082">
    <w:abstractNumId w:val="9"/>
  </w:num>
  <w:num w:numId="5" w16cid:durableId="311250083">
    <w:abstractNumId w:val="5"/>
  </w:num>
  <w:num w:numId="6" w16cid:durableId="329988315">
    <w:abstractNumId w:val="8"/>
  </w:num>
  <w:num w:numId="7" w16cid:durableId="1050109882">
    <w:abstractNumId w:val="10"/>
  </w:num>
  <w:num w:numId="8" w16cid:durableId="112407913">
    <w:abstractNumId w:val="7"/>
  </w:num>
  <w:num w:numId="9" w16cid:durableId="1806697269">
    <w:abstractNumId w:val="4"/>
  </w:num>
  <w:num w:numId="10" w16cid:durableId="1382368594">
    <w:abstractNumId w:val="1"/>
  </w:num>
  <w:num w:numId="11" w16cid:durableId="1859468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F564C"/>
    <w:rsid w:val="00103DE5"/>
    <w:rsid w:val="00174DC3"/>
    <w:rsid w:val="00294B20"/>
    <w:rsid w:val="002A007A"/>
    <w:rsid w:val="002A779D"/>
    <w:rsid w:val="00350AE1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1143A"/>
    <w:rsid w:val="005363DE"/>
    <w:rsid w:val="005666E2"/>
    <w:rsid w:val="005A53CC"/>
    <w:rsid w:val="005B5EEA"/>
    <w:rsid w:val="005C679E"/>
    <w:rsid w:val="005F5D5A"/>
    <w:rsid w:val="00607EDC"/>
    <w:rsid w:val="00710C5F"/>
    <w:rsid w:val="00735A26"/>
    <w:rsid w:val="007449A7"/>
    <w:rsid w:val="00805C1A"/>
    <w:rsid w:val="00825C9E"/>
    <w:rsid w:val="00845607"/>
    <w:rsid w:val="00872DA9"/>
    <w:rsid w:val="00886871"/>
    <w:rsid w:val="008C03C1"/>
    <w:rsid w:val="00902641"/>
    <w:rsid w:val="009142A8"/>
    <w:rsid w:val="00924A2C"/>
    <w:rsid w:val="009744B8"/>
    <w:rsid w:val="009A710F"/>
    <w:rsid w:val="009E3826"/>
    <w:rsid w:val="009F08F0"/>
    <w:rsid w:val="00A26517"/>
    <w:rsid w:val="00A81442"/>
    <w:rsid w:val="00A83F79"/>
    <w:rsid w:val="00AF797D"/>
    <w:rsid w:val="00B74E61"/>
    <w:rsid w:val="00B86DEF"/>
    <w:rsid w:val="00BD2C6A"/>
    <w:rsid w:val="00C13AB2"/>
    <w:rsid w:val="00C60EEF"/>
    <w:rsid w:val="00CA18A1"/>
    <w:rsid w:val="00CC5C1B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5251F"/>
    <w:rsid w:val="00E62233"/>
    <w:rsid w:val="00E75269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2022-11-09T17:34:00Z</dcterms:created>
  <dcterms:modified xsi:type="dcterms:W3CDTF">2022-11-09T17:34:00Z</dcterms:modified>
</cp:coreProperties>
</file>