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pPr>
      <w:r>
        <w:rPr>
          <w:rFonts w:ascii="Calibri" w:cs="Calibri" w:eastAsia="Calibri" w:hAnsi="Calibri"/>
          <w:b/>
          <w:bCs/>
          <w:color w:val="7C3AED"/>
          <w:spacing w:val="40"/>
          <w:sz w:val="22"/>
          <w:szCs w:val="22"/>
        </w:rPr>
        <w:t xml:space="preserve">BUSINESS PLAN</w:t>
      </w:r>
    </w:p>
    <w:p>
      <w:pPr>
        <w:spacing w:after="200"/>
      </w:pPr>
      <w:r>
        <w:rPr>
          <w:rFonts w:ascii="Cambria" w:cs="Cambria" w:eastAsia="Cambria" w:hAnsi="Cambria"/>
          <w:b/>
          <w:bCs/>
          <w:color w:val="241242"/>
          <w:sz w:val="48"/>
          <w:szCs w:val="48"/>
        </w:rPr>
        <w:t xml:space="preserve">An AI-Native Animation Studio for OTT &amp; Production Houses</w:t>
      </w:r>
    </w:p>
    <w:p>
      <w:pPr>
        <w:spacing w:after="800"/>
      </w:pPr>
      <w:r>
        <w:rPr>
          <w:rFonts w:ascii="Calibri" w:cs="Calibri" w:eastAsia="Calibri" w:hAnsi="Calibri"/>
          <w:i/>
          <w:iCs/>
          <w:color w:val="595959"/>
          <w:sz w:val="24"/>
          <w:szCs w:val="24"/>
        </w:rPr>
        <w:t xml:space="preserve">A feasibility study and business plan for an India-based animation studio using AI-augmented pipelines to produce short films and series content for OTT platforms and production houses.</w:t>
      </w:r>
    </w:p>
    <w:p>
      <w:pPr>
        <w:spacing w:after="60"/>
      </w:pPr>
      <w:r>
        <w:rPr>
          <w:rFonts w:ascii="Calibri" w:cs="Calibri" w:eastAsia="Calibri" w:hAnsi="Calibri"/>
          <w:color w:val="595959"/>
          <w:sz w:val="20"/>
          <w:szCs w:val="20"/>
        </w:rPr>
        <w:t xml:space="preserve">Prepared: July 2026</w:t>
      </w:r>
    </w:p>
    <w:p>
      <w:pPr>
        <w:spacing w:after="60"/>
      </w:pPr>
      <w:r>
        <w:rPr>
          <w:rFonts w:ascii="Calibri" w:cs="Calibri" w:eastAsia="Calibri" w:hAnsi="Calibri"/>
          <w:color w:val="595959"/>
          <w:sz w:val="20"/>
          <w:szCs w:val="20"/>
        </w:rPr>
        <w:t xml:space="preserve">Stage: Idea / Feasibility</w:t>
      </w:r>
    </w:p>
    <w:p>
      <w:pPr>
        <w:spacing w:after="60"/>
      </w:pPr>
      <w:r>
        <w:rPr>
          <w:rFonts w:ascii="Calibri" w:cs="Calibri" w:eastAsia="Calibri" w:hAnsi="Calibri"/>
          <w:color w:val="595959"/>
          <w:sz w:val="20"/>
          <w:szCs w:val="20"/>
        </w:rPr>
        <w:t xml:space="preserve">Geography: India (national), with global distribution ambitions</w:t>
      </w:r>
    </w:p>
    <w:p>
      <w:r>
        <w:br w:type="page"/>
      </w:r>
    </w:p>
    <w:p>
      <w:pPr>
        <w:pStyle w:val="Heading1"/>
        <w:spacing w:after="160" w:before="360"/>
      </w:pPr>
      <w:r>
        <w:rPr>
          <w:rFonts w:ascii="Cambria" w:cs="Cambria" w:eastAsia="Cambria" w:hAnsi="Cambria"/>
          <w:b/>
          <w:bCs/>
          <w:color w:val="241242"/>
          <w:sz w:val="32"/>
          <w:szCs w:val="32"/>
        </w:rPr>
        <w:t xml:space="preserve">1. Executive Summary</w:t>
      </w:r>
    </w:p>
    <w:p>
      <w:pPr>
        <w:spacing w:after="160" w:line="300"/>
      </w:pPr>
      <w:r>
        <w:rPr>
          <w:rFonts w:ascii="Calibri" w:cs="Calibri" w:eastAsia="Calibri" w:hAnsi="Calibri"/>
          <w:i w:val="false"/>
          <w:iCs w:val="false"/>
          <w:color w:val="1F1B2E"/>
          <w:sz w:val="22"/>
          <w:szCs w:val="22"/>
        </w:rPr>
        <w:t xml:space="preserve">This plan outlines the case for launching an AI-native animation studio in India, focused on producing short films and series for OTT platforms and production houses. The studio's core idea is simple: use AI-augmented production tools — for storyboarding, rigging, in-betweening, background generation and lip-sync — to produce broadcast-credible animated content at a fraction of the traditional cost and timeline, and reinvest that advantage into building owned, India-rooted intellectual property.</w:t>
      </w:r>
    </w:p>
    <w:p>
      <w:pPr>
        <w:spacing w:after="160" w:line="300"/>
      </w:pPr>
      <w:r>
        <w:rPr>
          <w:rFonts w:ascii="Calibri" w:cs="Calibri" w:eastAsia="Calibri" w:hAnsi="Calibri"/>
          <w:i w:val="false"/>
          <w:iCs w:val="false"/>
          <w:color w:val="1F1B2E"/>
          <w:sz w:val="22"/>
          <w:szCs w:val="22"/>
        </w:rPr>
        <w:t xml:space="preserve">India's animation and VFX sector reached roughly $1.5 billion in 2025 and is projected to grow at a compound annual rate near 21.6% through 2034. Within that, the generative-AI-in-animation segment is growing even faster — from about $61.6 million in 2023 to a projected $931.5 million by 2033. At the same time, OTT platforms including Netflix, Amazon Prime Video, Disney+ Hotstar and SonyLIV are actively commissioning original Indian animated content, with Netflix opening a dedicated creative-technology hub in Hyderabad.</w:t>
      </w:r>
    </w:p>
    <w:p>
      <w:pPr>
        <w:spacing w:after="160" w:line="300"/>
      </w:pPr>
      <w:r>
        <w:rPr>
          <w:rFonts w:ascii="Calibri" w:cs="Calibri" w:eastAsia="Calibri" w:hAnsi="Calibri"/>
          <w:i w:val="false"/>
          <w:iCs w:val="false"/>
          <w:color w:val="1F1B2E"/>
          <w:sz w:val="22"/>
          <w:szCs w:val="22"/>
        </w:rPr>
        <w:t xml:space="preserve">The business will operate on two revenue engines: (1) AI-accelerated production services for production houses and OTT platforms, generating near-term revenue and credibility; and (2) owned original IP — series and shorts developed in-house and licensed to platforms — which carries higher risk but significantly higher long-term value.</w:t>
      </w:r>
    </w:p>
    <w:p>
      <w:pPr>
        <w:spacing w:after="160" w:line="300"/>
      </w:pPr>
      <w:r>
        <w:rPr>
          <w:rFonts w:ascii="Calibri" w:cs="Calibri" w:eastAsia="Calibri" w:hAnsi="Calibri"/>
          <w:i w:val="false"/>
          <w:iCs w:val="false"/>
          <w:color w:val="1F1B2E"/>
          <w:sz w:val="22"/>
          <w:szCs w:val="22"/>
        </w:rPr>
        <w:t xml:space="preserve">This is an idea-stage plan. It does not assume funding is secured or that a team is in place; it lays out the market case, the operating model, the risks, and a realistic path from a single proof-of-concept short to a self-sustaining studio with owned IP by 2030.</w:t>
      </w:r>
    </w:p>
    <w:tbl>
      <w:tblPr>
        <w:tblW w:type="pct" w:w="100%"/>
        <w:tblBorders>
          <w:top w:val="none"/>
          <w:left w:val="none"/>
          <w:bottom w:val="none"/>
          <w:right w:val="none"/>
          <w:insideH w:val="none"/>
          <w:insideV w:val="none"/>
        </w:tblBorders>
      </w:tblPr>
      <w:tblGrid>
        <w:gridCol w:w="100"/>
      </w:tblGrid>
      <w:tr>
        <w:tc>
          <w:tcPr>
            <w:shd w:fill="F1EAFB" w:val="clear"/>
            <w:tcMar>
              <w:top w:type="dxa" w:w="160"/>
              <w:left w:type="dxa" w:w="200"/>
              <w:bottom w:type="dxa" w:w="160"/>
              <w:right w:type="dxa" w:w="200"/>
            </w:tcMar>
          </w:tcPr>
          <w:p>
            <w:pPr>
              <w:spacing w:after="60"/>
            </w:pPr>
            <w:r>
              <w:rPr>
                <w:rFonts w:ascii="Calibri" w:cs="Calibri" w:eastAsia="Calibri" w:hAnsi="Calibri"/>
                <w:b/>
                <w:bCs/>
                <w:color w:val="1F1B2E"/>
                <w:sz w:val="22"/>
                <w:szCs w:val="22"/>
              </w:rPr>
              <w:t xml:space="preserve">Key takeaway</w:t>
            </w:r>
          </w:p>
          <w:p>
            <w:pPr>
              <w:spacing w:after="0"/>
            </w:pPr>
            <w:r>
              <w:rPr>
                <w:rFonts w:ascii="Calibri" w:cs="Calibri" w:eastAsia="Calibri" w:hAnsi="Calibri"/>
                <w:color w:val="1F1B2E"/>
                <w:sz w:val="21"/>
                <w:szCs w:val="21"/>
              </w:rPr>
              <w:t xml:space="preserve">The opportunity is real, but it is not unique to this company — dozens of Indian and global studios are integrating AI right now. The differentiator has to be speed of execution, creative quality, and a clear niche (India-rooted / mythology-based storytelling), not the mere use of AI tools.</w:t>
            </w:r>
          </w:p>
        </w:tc>
      </w:tr>
    </w:tbl>
    <w:p>
      <w:r>
        <w:br w:type="page"/>
      </w:r>
    </w:p>
    <w:p>
      <w:pPr>
        <w:pStyle w:val="Heading1"/>
        <w:spacing w:after="160" w:before="360"/>
      </w:pPr>
      <w:r>
        <w:rPr>
          <w:rFonts w:ascii="Cambria" w:cs="Cambria" w:eastAsia="Cambria" w:hAnsi="Cambria"/>
          <w:b/>
          <w:bCs/>
          <w:color w:val="241242"/>
          <w:sz w:val="32"/>
          <w:szCs w:val="32"/>
        </w:rPr>
        <w:t xml:space="preserve">2. Business Description &amp; Vision</w:t>
      </w:r>
    </w:p>
    <w:p>
      <w:pPr>
        <w:pStyle w:val="Heading2"/>
        <w:spacing w:after="120" w:before="260"/>
      </w:pPr>
      <w:r>
        <w:rPr>
          <w:rFonts w:ascii="Cambria" w:cs="Cambria" w:eastAsia="Cambria" w:hAnsi="Cambria"/>
          <w:b/>
          <w:bCs/>
          <w:color w:val="7C3AED"/>
          <w:sz w:val="25"/>
          <w:szCs w:val="25"/>
        </w:rPr>
        <w:t xml:space="preserve">2.1 What We Do</w:t>
      </w:r>
    </w:p>
    <w:p>
      <w:pPr>
        <w:spacing w:after="160" w:line="300"/>
      </w:pPr>
      <w:r>
        <w:rPr>
          <w:rFonts w:ascii="Calibri" w:cs="Calibri" w:eastAsia="Calibri" w:hAnsi="Calibri"/>
          <w:i w:val="false"/>
          <w:iCs w:val="false"/>
          <w:color w:val="1F1B2E"/>
          <w:sz w:val="22"/>
          <w:szCs w:val="22"/>
        </w:rPr>
        <w:t xml:space="preserve">The company is an animation production studio that integrates generative AI tools directly into its creative pipeline. Rather than replacing artists and directors, AI is used to compress the most labor- and time-intensive steps — rigging, in-betweening, background generation, and lip-sync — so that small creative teams can deliver content that would traditionally require far larger crews and budgets.</w:t>
      </w:r>
    </w:p>
    <w:p>
      <w:pPr>
        <w:pStyle w:val="Heading2"/>
        <w:spacing w:after="120" w:before="260"/>
      </w:pPr>
      <w:r>
        <w:rPr>
          <w:rFonts w:ascii="Cambria" w:cs="Cambria" w:eastAsia="Cambria" w:hAnsi="Cambria"/>
          <w:b/>
          <w:bCs/>
          <w:color w:val="7C3AED"/>
          <w:sz w:val="25"/>
          <w:szCs w:val="25"/>
        </w:rPr>
        <w:t xml:space="preserve">2.2 Who We Serve</w:t>
      </w:r>
    </w:p>
    <w:p>
      <w:pPr>
        <w:pStyle w:val="ListParagraph"/>
        <w:numPr>
          <w:ilvl w:val="0"/>
          <w:numId w:val="2"/>
        </w:numPr>
        <w:spacing w:after="90" w:line="280"/>
      </w:pPr>
      <w:r>
        <w:rPr>
          <w:rFonts w:ascii="Calibri" w:cs="Calibri" w:eastAsia="Calibri" w:hAnsi="Calibri"/>
          <w:color w:val="1F1B2E"/>
          <w:sz w:val="22"/>
          <w:szCs w:val="22"/>
        </w:rPr>
        <w:t xml:space="preserve">Production houses that already have OTT relationships but need a faster, lower-cost execution partner</w:t>
      </w:r>
    </w:p>
    <w:p>
      <w:pPr>
        <w:pStyle w:val="ListParagraph"/>
        <w:numPr>
          <w:ilvl w:val="0"/>
          <w:numId w:val="2"/>
        </w:numPr>
        <w:spacing w:after="90" w:line="280"/>
      </w:pPr>
      <w:r>
        <w:rPr>
          <w:rFonts w:ascii="Calibri" w:cs="Calibri" w:eastAsia="Calibri" w:hAnsi="Calibri"/>
          <w:color w:val="1F1B2E"/>
          <w:sz w:val="22"/>
          <w:szCs w:val="22"/>
        </w:rPr>
        <w:t xml:space="preserve">OTT platforms and broadcasters directly, once the studio has a delivered track record</w:t>
      </w:r>
    </w:p>
    <w:p>
      <w:pPr>
        <w:pStyle w:val="ListParagraph"/>
        <w:numPr>
          <w:ilvl w:val="0"/>
          <w:numId w:val="2"/>
        </w:numPr>
        <w:spacing w:after="90" w:line="280"/>
      </w:pPr>
      <w:r>
        <w:rPr>
          <w:rFonts w:ascii="Calibri" w:cs="Calibri" w:eastAsia="Calibri" w:hAnsi="Calibri"/>
          <w:color w:val="1F1B2E"/>
          <w:sz w:val="22"/>
          <w:szCs w:val="22"/>
        </w:rPr>
        <w:t xml:space="preserve">Longer-term: international buyers and co-production partners interested in India-rooted IP</w:t>
      </w:r>
    </w:p>
    <w:p>
      <w:pPr>
        <w:spacing w:after="160"/>
      </w:pPr>
    </w:p>
    <w:p>
      <w:pPr>
        <w:pStyle w:val="Heading2"/>
        <w:spacing w:after="120" w:before="260"/>
      </w:pPr>
      <w:r>
        <w:rPr>
          <w:rFonts w:ascii="Cambria" w:cs="Cambria" w:eastAsia="Cambria" w:hAnsi="Cambria"/>
          <w:b/>
          <w:bCs/>
          <w:color w:val="7C3AED"/>
          <w:sz w:val="25"/>
          <w:szCs w:val="25"/>
        </w:rPr>
        <w:t xml:space="preserve">2.3 Vision 2030</w:t>
      </w:r>
    </w:p>
    <w:p>
      <w:pPr>
        <w:spacing w:after="160" w:line="300"/>
      </w:pPr>
      <w:r>
        <w:rPr>
          <w:rFonts w:ascii="Calibri" w:cs="Calibri" w:eastAsia="Calibri" w:hAnsi="Calibri"/>
          <w:i w:val="false"/>
          <w:iCs w:val="false"/>
          <w:color w:val="1F1B2E"/>
          <w:sz w:val="22"/>
          <w:szCs w:val="22"/>
        </w:rPr>
        <w:t xml:space="preserve">By 2030, the aim is for this studio to be recognized not as a production vendor, but as an IP-owning Indian animation studio with a global footprint. Specifically, the long-term goals are:</w:t>
      </w:r>
    </w:p>
    <w:p>
      <w:pPr>
        <w:pStyle w:val="ListParagraph"/>
        <w:numPr>
          <w:ilvl w:val="0"/>
          <w:numId w:val="2"/>
        </w:numPr>
        <w:spacing w:after="90" w:line="280"/>
      </w:pPr>
      <w:r>
        <w:rPr>
          <w:rFonts w:ascii="Calibri" w:cs="Calibri" w:eastAsia="Calibri" w:hAnsi="Calibri"/>
          <w:b/>
          <w:bCs/>
          <w:color w:val="1F1B2E"/>
          <w:sz w:val="22"/>
          <w:szCs w:val="22"/>
        </w:rPr>
        <w:t xml:space="preserve">3+ owned original series or franchises — </w:t>
      </w:r>
      <w:r>
        <w:rPr>
          <w:rFonts w:ascii="Calibri" w:cs="Calibri" w:eastAsia="Calibri" w:hAnsi="Calibri"/>
          <w:color w:val="1F1B2E"/>
          <w:sz w:val="22"/>
          <w:szCs w:val="22"/>
        </w:rPr>
        <w:t xml:space="preserve">developed in-house, not made for hire, with at least one streaming on a major OTT platform.</w:t>
      </w:r>
    </w:p>
    <w:p>
      <w:pPr>
        <w:pStyle w:val="ListParagraph"/>
        <w:numPr>
          <w:ilvl w:val="0"/>
          <w:numId w:val="2"/>
        </w:numPr>
        <w:spacing w:after="90" w:line="280"/>
      </w:pPr>
      <w:r>
        <w:rPr>
          <w:rFonts w:ascii="Calibri" w:cs="Calibri" w:eastAsia="Calibri" w:hAnsi="Calibri"/>
          <w:b/>
          <w:bCs/>
          <w:color w:val="1F1B2E"/>
          <w:sz w:val="22"/>
          <w:szCs w:val="22"/>
        </w:rPr>
        <w:t xml:space="preserve">Global distribution — </w:t>
      </w:r>
      <w:r>
        <w:rPr>
          <w:rFonts w:ascii="Calibri" w:cs="Calibri" w:eastAsia="Calibri" w:hAnsi="Calibri"/>
          <w:color w:val="1F1B2E"/>
          <w:sz w:val="22"/>
          <w:szCs w:val="22"/>
        </w:rPr>
        <w:t xml:space="preserve">content licensed beyond India, into Southeast Asia, the Middle East, and Western streaming catalogs.</w:t>
      </w:r>
    </w:p>
    <w:p>
      <w:pPr>
        <w:pStyle w:val="ListParagraph"/>
        <w:numPr>
          <w:ilvl w:val="0"/>
          <w:numId w:val="2"/>
        </w:numPr>
        <w:spacing w:after="90" w:line="280"/>
      </w:pPr>
      <w:r>
        <w:rPr>
          <w:rFonts w:ascii="Calibri" w:cs="Calibri" w:eastAsia="Calibri" w:hAnsi="Calibri"/>
          <w:b/>
          <w:bCs/>
          <w:color w:val="1F1B2E"/>
          <w:sz w:val="22"/>
          <w:szCs w:val="22"/>
        </w:rPr>
        <w:t xml:space="preserve">A 50+ person studio — </w:t>
      </w:r>
      <w:r>
        <w:rPr>
          <w:rFonts w:ascii="Calibri" w:cs="Calibri" w:eastAsia="Calibri" w:hAnsi="Calibri"/>
          <w:color w:val="1F1B2E"/>
          <w:sz w:val="22"/>
          <w:szCs w:val="22"/>
        </w:rPr>
        <w:t xml:space="preserve">a full AI-augmented creative team spanning writing, art direction, and technical pipeline roles.</w:t>
      </w:r>
    </w:p>
    <w:p>
      <w:pPr>
        <w:pStyle w:val="ListParagraph"/>
        <w:numPr>
          <w:ilvl w:val="0"/>
          <w:numId w:val="2"/>
        </w:numPr>
        <w:spacing w:after="90" w:line="280"/>
      </w:pPr>
      <w:r>
        <w:rPr>
          <w:rFonts w:ascii="Calibri" w:cs="Calibri" w:eastAsia="Calibri" w:hAnsi="Calibri"/>
          <w:b/>
          <w:bCs/>
          <w:color w:val="1F1B2E"/>
          <w:sz w:val="22"/>
          <w:szCs w:val="22"/>
        </w:rPr>
        <w:t xml:space="preserve">Diversified revenue — </w:t>
      </w:r>
      <w:r>
        <w:rPr>
          <w:rFonts w:ascii="Calibri" w:cs="Calibri" w:eastAsia="Calibri" w:hAnsi="Calibri"/>
          <w:color w:val="1F1B2E"/>
          <w:sz w:val="22"/>
          <w:szCs w:val="22"/>
        </w:rPr>
        <w:t xml:space="preserve">a mix of service commissions, owned-IP licensing, and merchandise or gaming spin-offs, rather than dependence on any single client.</w:t>
      </w:r>
    </w:p>
    <w:p>
      <w:pPr>
        <w:spacing w:after="160"/>
      </w:pPr>
    </w:p>
    <w:tbl>
      <w:tblPr>
        <w:tblW w:type="pct" w:w="100%"/>
        <w:tblBorders>
          <w:top w:val="none"/>
          <w:left w:val="none"/>
          <w:bottom w:val="none"/>
          <w:right w:val="none"/>
          <w:insideH w:val="none"/>
          <w:insideV w:val="none"/>
        </w:tblBorders>
      </w:tblPr>
      <w:tblGrid>
        <w:gridCol w:w="100"/>
      </w:tblGrid>
      <w:tr>
        <w:tc>
          <w:tcPr>
            <w:shd w:fill="E6FBF8" w:val="clear"/>
            <w:tcMar>
              <w:top w:type="dxa" w:w="160"/>
              <w:left w:type="dxa" w:w="200"/>
              <w:bottom w:type="dxa" w:w="160"/>
              <w:right w:type="dxa" w:w="200"/>
            </w:tcMar>
          </w:tcPr>
          <w:p>
            <w:pPr>
              <w:spacing w:after="60"/>
            </w:pPr>
            <w:r>
              <w:rPr>
                <w:rFonts w:ascii="Calibri" w:cs="Calibri" w:eastAsia="Calibri" w:hAnsi="Calibri"/>
                <w:b/>
                <w:bCs/>
                <w:color w:val="1F1B2E"/>
                <w:sz w:val="22"/>
                <w:szCs w:val="22"/>
              </w:rPr>
              <w:t xml:space="preserve">Important caveat</w:t>
            </w:r>
          </w:p>
          <w:p>
            <w:pPr>
              <w:spacing w:after="0"/>
            </w:pPr>
            <w:r>
              <w:rPr>
                <w:rFonts w:ascii="Calibri" w:cs="Calibri" w:eastAsia="Calibri" w:hAnsi="Calibri"/>
                <w:color w:val="1F1B2E"/>
                <w:sz w:val="21"/>
                <w:szCs w:val="21"/>
              </w:rPr>
              <w:t xml:space="preserve">Vision 2030 is an aspirational target, not a projection or a guarantee. Every milestone in it depends on proving the previous stage — the proof-of-concept short, the first paid commission, the first owned series — before committing further capital and time. This plan treats 2030 as a direction, not a fixed forecast.</w:t>
            </w:r>
          </w:p>
        </w:tc>
      </w:tr>
    </w:tbl>
    <w:p>
      <w:r>
        <w:br w:type="page"/>
      </w:r>
    </w:p>
    <w:p>
      <w:pPr>
        <w:pStyle w:val="Heading1"/>
        <w:spacing w:after="160" w:before="360"/>
      </w:pPr>
      <w:r>
        <w:rPr>
          <w:rFonts w:ascii="Cambria" w:cs="Cambria" w:eastAsia="Cambria" w:hAnsi="Cambria"/>
          <w:b/>
          <w:bCs/>
          <w:color w:val="241242"/>
          <w:sz w:val="32"/>
          <w:szCs w:val="32"/>
        </w:rPr>
        <w:t xml:space="preserve">3. Market Analysis</w:t>
      </w:r>
    </w:p>
    <w:p>
      <w:pPr>
        <w:pStyle w:val="Heading2"/>
        <w:spacing w:after="120" w:before="260"/>
      </w:pPr>
      <w:r>
        <w:rPr>
          <w:rFonts w:ascii="Cambria" w:cs="Cambria" w:eastAsia="Cambria" w:hAnsi="Cambria"/>
          <w:b/>
          <w:bCs/>
          <w:color w:val="7C3AED"/>
          <w:sz w:val="25"/>
          <w:szCs w:val="25"/>
        </w:rPr>
        <w:t xml:space="preserve">3.1 Market Size &amp; Growth</w:t>
      </w:r>
    </w:p>
    <w:p>
      <w:pPr>
        <w:spacing w:after="160" w:line="300"/>
      </w:pPr>
      <w:r>
        <w:rPr>
          <w:rFonts w:ascii="Calibri" w:cs="Calibri" w:eastAsia="Calibri" w:hAnsi="Calibri"/>
          <w:i w:val="false"/>
          <w:iCs w:val="false"/>
          <w:color w:val="1F1B2E"/>
          <w:sz w:val="22"/>
          <w:szCs w:val="22"/>
        </w:rPr>
        <w:t xml:space="preserve">India's animation and VFX sector was valued at approximately $1.5 billion in 2025, up from roughly $950 million three years earlier, and the broader India animation market is projected to reach approximately $13.95 billion by 2034 at a compound annual growth rate of about 21.6% (2026–34). Global comparisons reinforce the trend: the worldwide animation and VFX market grew from about $197.3 billion in 2025 to a projected $220.7 billion in 2026, driven largely by streaming-platform commissioning and brand content demand.</w:t>
      </w:r>
    </w:p>
    <w:p>
      <w:pPr>
        <w:spacing w:after="160" w:line="300"/>
      </w:pPr>
      <w:r>
        <w:rPr>
          <w:rFonts w:ascii="Calibri" w:cs="Calibri" w:eastAsia="Calibri" w:hAnsi="Calibri"/>
          <w:i w:val="false"/>
          <w:iCs w:val="false"/>
          <w:color w:val="1F1B2E"/>
          <w:sz w:val="22"/>
          <w:szCs w:val="22"/>
        </w:rPr>
        <w:t xml:space="preserve">The generative-AI-in-animation segment specifically is the fastest-growing slice of this market. In India, it is projected to expand from about $61.6 million in 2023 to $931.5 million by 2033 — a compound annual growth rate near 47.9%. Globally, the generative AI in animation market reached about $3.23 billion in 2026, expanding at roughly 36% annually.</w:t>
      </w:r>
    </w:p>
    <w:tbl>
      <w:tblPr>
        <w:tblW w:type="dxa" w:w="9350"/>
        <w:tblBorders>
          <w:top w:val="single" w:color="FFFFFF" w:sz="4"/>
          <w:left w:val="single" w:color="FFFFFF" w:sz="4"/>
          <w:bottom w:val="single" w:color="FFFFFF" w:sz="4"/>
          <w:right w:val="single" w:color="FFFFFF" w:sz="4"/>
          <w:insideH w:val="single" w:color="FFFFFF" w:sz="4"/>
          <w:insideV w:val="single" w:color="FFFFFF" w:sz="4"/>
        </w:tblBorders>
      </w:tblPr>
      <w:tblGrid>
        <w:gridCol w:w="3116"/>
        <w:gridCol w:w="3116"/>
        <w:gridCol w:w="3116"/>
      </w:tblGrid>
      <w:tr>
        <w:trPr>
          <w:tblHeader/>
        </w:trPr>
        <w:tc>
          <w:tcPr>
            <w:tcW w:type="dxa" w:w="3116"/>
            <w:shd w:fill="241242"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Metric</w:t>
            </w:r>
          </w:p>
        </w:tc>
        <w:tc>
          <w:tcPr>
            <w:tcW w:type="dxa" w:w="3116"/>
            <w:shd w:fill="241242"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Figure</w:t>
            </w:r>
          </w:p>
        </w:tc>
        <w:tc>
          <w:tcPr>
            <w:tcW w:type="dxa" w:w="3116"/>
            <w:shd w:fill="241242"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Source Period</w:t>
            </w:r>
          </w:p>
        </w:tc>
      </w:tr>
      <w:tr>
        <w:tc>
          <w:tcPr>
            <w:tcW w:type="dxa" w:w="3116"/>
            <w:shd w:fill="FFFFFF" w:val="clear"/>
            <w:tcMar>
              <w:top w:type="dxa" w:w="90"/>
              <w:left w:type="dxa" w:w="120"/>
              <w:bottom w:type="dxa" w:w="90"/>
              <w:right w:type="dxa" w:w="120"/>
            </w:tcMar>
            <w:vAlign w:val="center"/>
          </w:tcPr>
          <w:p>
            <w:r>
              <w:rPr>
                <w:rFonts w:ascii="Calibri" w:cs="Calibri" w:eastAsia="Calibri" w:hAnsi="Calibri"/>
                <w:b/>
                <w:bCs/>
                <w:color w:val="1F1B2E"/>
                <w:sz w:val="20"/>
                <w:szCs w:val="20"/>
              </w:rPr>
              <w:t xml:space="preserve">India animation &amp; VFX sector size</w:t>
            </w:r>
          </w:p>
        </w:tc>
        <w:tc>
          <w:tcPr>
            <w:tcW w:type="dxa" w:w="3116"/>
            <w:shd w:fill="FFFFFF"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~$1.5 billion</w:t>
            </w:r>
          </w:p>
        </w:tc>
        <w:tc>
          <w:tcPr>
            <w:tcW w:type="dxa" w:w="3116"/>
            <w:shd w:fill="FFFFFF"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2025</w:t>
            </w:r>
          </w:p>
        </w:tc>
      </w:tr>
      <w:tr>
        <w:tc>
          <w:tcPr>
            <w:tcW w:type="dxa" w:w="3116"/>
            <w:shd w:fill="F5F2FB" w:val="clear"/>
            <w:tcMar>
              <w:top w:type="dxa" w:w="90"/>
              <w:left w:type="dxa" w:w="120"/>
              <w:bottom w:type="dxa" w:w="90"/>
              <w:right w:type="dxa" w:w="120"/>
            </w:tcMar>
            <w:vAlign w:val="center"/>
          </w:tcPr>
          <w:p>
            <w:r>
              <w:rPr>
                <w:rFonts w:ascii="Calibri" w:cs="Calibri" w:eastAsia="Calibri" w:hAnsi="Calibri"/>
                <w:b/>
                <w:bCs/>
                <w:color w:val="1F1B2E"/>
                <w:sz w:val="20"/>
                <w:szCs w:val="20"/>
              </w:rPr>
              <w:t xml:space="preserve">Projected India animation market size</w:t>
            </w:r>
          </w:p>
        </w:tc>
        <w:tc>
          <w:tcPr>
            <w:tcW w:type="dxa" w:w="3116"/>
            <w:shd w:fill="F5F2FB"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~$13.95 billion</w:t>
            </w:r>
          </w:p>
        </w:tc>
        <w:tc>
          <w:tcPr>
            <w:tcW w:type="dxa" w:w="3116"/>
            <w:shd w:fill="F5F2FB"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by 2034</w:t>
            </w:r>
          </w:p>
        </w:tc>
      </w:tr>
      <w:tr>
        <w:tc>
          <w:tcPr>
            <w:tcW w:type="dxa" w:w="3116"/>
            <w:shd w:fill="FFFFFF" w:val="clear"/>
            <w:tcMar>
              <w:top w:type="dxa" w:w="90"/>
              <w:left w:type="dxa" w:w="120"/>
              <w:bottom w:type="dxa" w:w="90"/>
              <w:right w:type="dxa" w:w="120"/>
            </w:tcMar>
            <w:vAlign w:val="center"/>
          </w:tcPr>
          <w:p>
            <w:r>
              <w:rPr>
                <w:rFonts w:ascii="Calibri" w:cs="Calibri" w:eastAsia="Calibri" w:hAnsi="Calibri"/>
                <w:b/>
                <w:bCs/>
                <w:color w:val="1F1B2E"/>
                <w:sz w:val="20"/>
                <w:szCs w:val="20"/>
              </w:rPr>
              <w:t xml:space="preserve">India GenAI-in-animation segment</w:t>
            </w:r>
          </w:p>
        </w:tc>
        <w:tc>
          <w:tcPr>
            <w:tcW w:type="dxa" w:w="3116"/>
            <w:shd w:fill="FFFFFF"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$61.6M → $931.5M</w:t>
            </w:r>
          </w:p>
        </w:tc>
        <w:tc>
          <w:tcPr>
            <w:tcW w:type="dxa" w:w="3116"/>
            <w:shd w:fill="FFFFFF"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2023 → 2033 projected</w:t>
            </w:r>
          </w:p>
        </w:tc>
      </w:tr>
      <w:tr>
        <w:tc>
          <w:tcPr>
            <w:tcW w:type="dxa" w:w="3116"/>
            <w:shd w:fill="F5F2FB" w:val="clear"/>
            <w:tcMar>
              <w:top w:type="dxa" w:w="90"/>
              <w:left w:type="dxa" w:w="120"/>
              <w:bottom w:type="dxa" w:w="90"/>
              <w:right w:type="dxa" w:w="120"/>
            </w:tcMar>
            <w:vAlign w:val="center"/>
          </w:tcPr>
          <w:p>
            <w:r>
              <w:rPr>
                <w:rFonts w:ascii="Calibri" w:cs="Calibri" w:eastAsia="Calibri" w:hAnsi="Calibri"/>
                <w:b/>
                <w:bCs/>
                <w:color w:val="1F1B2E"/>
                <w:sz w:val="20"/>
                <w:szCs w:val="20"/>
              </w:rPr>
              <w:t xml:space="preserve">Global generative AI in animation market</w:t>
            </w:r>
          </w:p>
        </w:tc>
        <w:tc>
          <w:tcPr>
            <w:tcW w:type="dxa" w:w="3116"/>
            <w:shd w:fill="F5F2FB"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~$3.23 billion, +36%/yr</w:t>
            </w:r>
          </w:p>
        </w:tc>
        <w:tc>
          <w:tcPr>
            <w:tcW w:type="dxa" w:w="3116"/>
            <w:shd w:fill="F5F2FB"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2026</w:t>
            </w:r>
          </w:p>
        </w:tc>
      </w:tr>
      <w:tr>
        <w:tc>
          <w:tcPr>
            <w:tcW w:type="dxa" w:w="3116"/>
            <w:shd w:fill="FFFFFF" w:val="clear"/>
            <w:tcMar>
              <w:top w:type="dxa" w:w="90"/>
              <w:left w:type="dxa" w:w="120"/>
              <w:bottom w:type="dxa" w:w="90"/>
              <w:right w:type="dxa" w:w="120"/>
            </w:tcMar>
            <w:vAlign w:val="center"/>
          </w:tcPr>
          <w:p>
            <w:r>
              <w:rPr>
                <w:rFonts w:ascii="Calibri" w:cs="Calibri" w:eastAsia="Calibri" w:hAnsi="Calibri"/>
                <w:b/>
                <w:bCs/>
                <w:color w:val="1F1B2E"/>
                <w:sz w:val="20"/>
                <w:szCs w:val="20"/>
              </w:rPr>
              <w:t xml:space="preserve">Global animation &amp; VFX market</w:t>
            </w:r>
          </w:p>
        </w:tc>
        <w:tc>
          <w:tcPr>
            <w:tcW w:type="dxa" w:w="3116"/>
            <w:shd w:fill="FFFFFF"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$197.3B → $220.7B</w:t>
            </w:r>
          </w:p>
        </w:tc>
        <w:tc>
          <w:tcPr>
            <w:tcW w:type="dxa" w:w="3116"/>
            <w:shd w:fill="FFFFFF"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2025 → 2026</w:t>
            </w:r>
          </w:p>
        </w:tc>
      </w:tr>
    </w:tbl>
    <w:p>
      <w:pPr>
        <w:spacing w:after="160"/>
      </w:pPr>
    </w:p>
    <w:p>
      <w:pPr>
        <w:pStyle w:val="Heading2"/>
        <w:spacing w:after="120" w:before="260"/>
      </w:pPr>
      <w:r>
        <w:rPr>
          <w:rFonts w:ascii="Cambria" w:cs="Cambria" w:eastAsia="Cambria" w:hAnsi="Cambria"/>
          <w:b/>
          <w:bCs/>
          <w:color w:val="7C3AED"/>
          <w:sz w:val="25"/>
          <w:szCs w:val="25"/>
        </w:rPr>
        <w:t xml:space="preserve">3.2 Demand Drivers</w:t>
      </w:r>
    </w:p>
    <w:p>
      <w:pPr>
        <w:pStyle w:val="ListParagraph"/>
        <w:numPr>
          <w:ilvl w:val="0"/>
          <w:numId w:val="2"/>
        </w:numPr>
        <w:spacing w:after="90" w:line="280"/>
      </w:pPr>
      <w:r>
        <w:rPr>
          <w:rFonts w:ascii="Calibri" w:cs="Calibri" w:eastAsia="Calibri" w:hAnsi="Calibri"/>
          <w:color w:val="1F1B2E"/>
          <w:sz w:val="22"/>
          <w:szCs w:val="22"/>
        </w:rPr>
        <w:t xml:space="preserve">OTT platforms (Netflix, Amazon Prime Video, Disney+ Hotstar, SonyLIV) are funding original Indian animated IP, not just licensing or outsourcing VFX work</w:t>
      </w:r>
    </w:p>
    <w:p>
      <w:pPr>
        <w:pStyle w:val="ListParagraph"/>
        <w:numPr>
          <w:ilvl w:val="0"/>
          <w:numId w:val="2"/>
        </w:numPr>
        <w:spacing w:after="90" w:line="280"/>
      </w:pPr>
      <w:r>
        <w:rPr>
          <w:rFonts w:ascii="Calibri" w:cs="Calibri" w:eastAsia="Calibri" w:hAnsi="Calibri"/>
          <w:color w:val="1F1B2E"/>
          <w:sz w:val="22"/>
          <w:szCs w:val="22"/>
        </w:rPr>
        <w:t xml:space="preserve">Netflix has opened a dedicated creative-technology hub in Hyderabad, signalling long-term commissioning intent in India</w:t>
      </w:r>
    </w:p>
    <w:p>
      <w:pPr>
        <w:pStyle w:val="ListParagraph"/>
        <w:numPr>
          <w:ilvl w:val="0"/>
          <w:numId w:val="2"/>
        </w:numPr>
        <w:spacing w:after="90" w:line="280"/>
      </w:pPr>
      <w:r>
        <w:rPr>
          <w:rFonts w:ascii="Calibri" w:cs="Calibri" w:eastAsia="Calibri" w:hAnsi="Calibri"/>
          <w:color w:val="1F1B2E"/>
          <w:sz w:val="22"/>
          <w:szCs w:val="22"/>
        </w:rPr>
        <w:t xml:space="preserve">Government support through the AVGC (Animation, VFX, Gaming, Comics) policy, including training centres and a planned National Centre of Excellence</w:t>
      </w:r>
    </w:p>
    <w:p>
      <w:pPr>
        <w:pStyle w:val="ListParagraph"/>
        <w:numPr>
          <w:ilvl w:val="0"/>
          <w:numId w:val="2"/>
        </w:numPr>
        <w:spacing w:after="90" w:line="280"/>
      </w:pPr>
      <w:r>
        <w:rPr>
          <w:rFonts w:ascii="Calibri" w:cs="Calibri" w:eastAsia="Calibri" w:hAnsi="Calibri"/>
          <w:color w:val="1F1B2E"/>
          <w:sz w:val="22"/>
          <w:szCs w:val="22"/>
        </w:rPr>
        <w:t xml:space="preserve">Rising global appetite for non-Western, culturally distinct animated IP — India's mythology and regional storytelling are a structural advantage</w:t>
      </w:r>
    </w:p>
    <w:p>
      <w:pPr>
        <w:pStyle w:val="ListParagraph"/>
        <w:numPr>
          <w:ilvl w:val="0"/>
          <w:numId w:val="2"/>
        </w:numPr>
        <w:spacing w:after="90" w:line="280"/>
      </w:pPr>
      <w:r>
        <w:rPr>
          <w:rFonts w:ascii="Calibri" w:cs="Calibri" w:eastAsia="Calibri" w:hAnsi="Calibri"/>
          <w:color w:val="1F1B2E"/>
          <w:sz w:val="22"/>
          <w:szCs w:val="22"/>
        </w:rPr>
        <w:t xml:space="preserve">AI tools maturing to production-grade quality for rigging, in-betweening, background generation and lip-sync, lowering the capital needed to compete</w:t>
      </w:r>
    </w:p>
    <w:p>
      <w:r>
        <w:br w:type="page"/>
      </w:r>
    </w:p>
    <w:p>
      <w:pPr>
        <w:pStyle w:val="Heading1"/>
        <w:spacing w:after="160" w:before="360"/>
      </w:pPr>
      <w:r>
        <w:rPr>
          <w:rFonts w:ascii="Cambria" w:cs="Cambria" w:eastAsia="Cambria" w:hAnsi="Cambria"/>
          <w:b/>
          <w:bCs/>
          <w:color w:val="241242"/>
          <w:sz w:val="32"/>
          <w:szCs w:val="32"/>
        </w:rPr>
        <w:t xml:space="preserve">4. Industry &amp; Competitive Analysis</w:t>
      </w:r>
    </w:p>
    <w:p>
      <w:pPr>
        <w:spacing w:after="160" w:line="300"/>
      </w:pPr>
      <w:r>
        <w:rPr>
          <w:rFonts w:ascii="Calibri" w:cs="Calibri" w:eastAsia="Calibri" w:hAnsi="Calibri"/>
          <w:i w:val="false"/>
          <w:iCs w:val="false"/>
          <w:color w:val="1F1B2E"/>
          <w:sz w:val="22"/>
          <w:szCs w:val="22"/>
        </w:rPr>
        <w:t xml:space="preserve">The Indian animation industry is stratified into distinct tiers, each with different capabilities, clients, and cost structures. Understanding where a new AI-native studio fits — and does not fit — is critical to setting realistic near-term goals.</w:t>
      </w:r>
    </w:p>
    <w:tbl>
      <w:tblPr>
        <w:tblW w:type="dxa" w:w="9350"/>
        <w:tblBorders>
          <w:top w:val="single" w:color="FFFFFF" w:sz="4"/>
          <w:left w:val="single" w:color="FFFFFF" w:sz="4"/>
          <w:bottom w:val="single" w:color="FFFFFF" w:sz="4"/>
          <w:right w:val="single" w:color="FFFFFF" w:sz="4"/>
          <w:insideH w:val="single" w:color="FFFFFF" w:sz="4"/>
          <w:insideV w:val="single" w:color="FFFFFF" w:sz="4"/>
        </w:tblBorders>
      </w:tblPr>
      <w:tblGrid>
        <w:gridCol w:w="2600"/>
        <w:gridCol w:w="2600"/>
        <w:gridCol w:w="2200"/>
        <w:gridCol w:w="1950"/>
      </w:tblGrid>
      <w:tr>
        <w:trPr>
          <w:tblHeader/>
        </w:trPr>
        <w:tc>
          <w:tcPr>
            <w:tcW w:type="dxa" w:w="2600"/>
            <w:shd w:fill="241242"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Tier</w:t>
            </w:r>
          </w:p>
        </w:tc>
        <w:tc>
          <w:tcPr>
            <w:tcW w:type="dxa" w:w="2600"/>
            <w:shd w:fill="241242"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Examples</w:t>
            </w:r>
          </w:p>
        </w:tc>
        <w:tc>
          <w:tcPr>
            <w:tcW w:type="dxa" w:w="2200"/>
            <w:shd w:fill="241242"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Strength</w:t>
            </w:r>
          </w:p>
        </w:tc>
        <w:tc>
          <w:tcPr>
            <w:tcW w:type="dxa" w:w="1950"/>
            <w:shd w:fill="241242"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Gap / Weakness</w:t>
            </w:r>
          </w:p>
        </w:tc>
      </w:tr>
      <w:tr>
        <w:tc>
          <w:tcPr>
            <w:tcW w:type="dxa" w:w="2600"/>
            <w:shd w:fill="FFFFFF" w:val="clear"/>
            <w:tcMar>
              <w:top w:type="dxa" w:w="90"/>
              <w:left w:type="dxa" w:w="120"/>
              <w:bottom w:type="dxa" w:w="90"/>
              <w:right w:type="dxa" w:w="120"/>
            </w:tcMar>
            <w:vAlign w:val="center"/>
          </w:tcPr>
          <w:p>
            <w:r>
              <w:rPr>
                <w:rFonts w:ascii="Calibri" w:cs="Calibri" w:eastAsia="Calibri" w:hAnsi="Calibri"/>
                <w:b/>
                <w:bCs/>
                <w:color w:val="1F1B2E"/>
                <w:sz w:val="20"/>
                <w:szCs w:val="20"/>
              </w:rPr>
              <w:t xml:space="preserve">Tier 1 — Global VFX Houses</w:t>
            </w:r>
          </w:p>
        </w:tc>
        <w:tc>
          <w:tcPr>
            <w:tcW w:type="dxa" w:w="2600"/>
            <w:shd w:fill="FFFFFF"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DNEG India, Reliance MediaWorks, Technicolor India</w:t>
            </w:r>
          </w:p>
        </w:tc>
        <w:tc>
          <w:tcPr>
            <w:tcW w:type="dxa" w:w="2200"/>
            <w:shd w:fill="FFFFFF"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Hollywood-grade output, TPN-certified, large scale</w:t>
            </w:r>
          </w:p>
        </w:tc>
        <w:tc>
          <w:tcPr>
            <w:tcW w:type="dxa" w:w="1950"/>
            <w:shd w:fill="FFFFFF"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High cost, long timelines, built for $50M+ projects</w:t>
            </w:r>
          </w:p>
        </w:tc>
      </w:tr>
      <w:tr>
        <w:tc>
          <w:tcPr>
            <w:tcW w:type="dxa" w:w="2600"/>
            <w:shd w:fill="F5F2FB" w:val="clear"/>
            <w:tcMar>
              <w:top w:type="dxa" w:w="90"/>
              <w:left w:type="dxa" w:w="120"/>
              <w:bottom w:type="dxa" w:w="90"/>
              <w:right w:type="dxa" w:w="120"/>
            </w:tcMar>
            <w:vAlign w:val="center"/>
          </w:tcPr>
          <w:p>
            <w:r>
              <w:rPr>
                <w:rFonts w:ascii="Calibri" w:cs="Calibri" w:eastAsia="Calibri" w:hAnsi="Calibri"/>
                <w:b/>
                <w:bCs/>
                <w:color w:val="1F1B2E"/>
                <w:sz w:val="20"/>
                <w:szCs w:val="20"/>
              </w:rPr>
              <w:t xml:space="preserve">Tier 2 — IP Originators</w:t>
            </w:r>
          </w:p>
        </w:tc>
        <w:tc>
          <w:tcPr>
            <w:tcW w:type="dxa" w:w="2600"/>
            <w:shd w:fill="F5F2FB"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Toonz Media Group, Green Gold Animation (Chhota Bheem), Cosmos-Maya</w:t>
            </w:r>
          </w:p>
        </w:tc>
        <w:tc>
          <w:tcPr>
            <w:tcW w:type="dxa" w:w="2200"/>
            <w:shd w:fill="F5F2FB"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Owned franchises, deep platform relationships</w:t>
            </w:r>
          </w:p>
        </w:tc>
        <w:tc>
          <w:tcPr>
            <w:tcW w:type="dxa" w:w="1950"/>
            <w:shd w:fill="F5F2FB"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Slower to adopt full AI pipelines at scale</w:t>
            </w:r>
          </w:p>
        </w:tc>
      </w:tr>
      <w:tr>
        <w:tc>
          <w:tcPr>
            <w:tcW w:type="dxa" w:w="2600"/>
            <w:shd w:fill="FFFFFF" w:val="clear"/>
            <w:tcMar>
              <w:top w:type="dxa" w:w="90"/>
              <w:left w:type="dxa" w:w="120"/>
              <w:bottom w:type="dxa" w:w="90"/>
              <w:right w:type="dxa" w:w="120"/>
            </w:tcMar>
            <w:vAlign w:val="center"/>
          </w:tcPr>
          <w:p>
            <w:r>
              <w:rPr>
                <w:rFonts w:ascii="Calibri" w:cs="Calibri" w:eastAsia="Calibri" w:hAnsi="Calibri"/>
                <w:b/>
                <w:bCs/>
                <w:color w:val="1F1B2E"/>
                <w:sz w:val="20"/>
                <w:szCs w:val="20"/>
              </w:rPr>
              <w:t xml:space="preserve">Tier 3 — Boutique / Service Studios</w:t>
            </w:r>
          </w:p>
        </w:tc>
        <w:tc>
          <w:tcPr>
            <w:tcW w:type="dxa" w:w="2600"/>
            <w:shd w:fill="FFFFFF"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Regional 2D/3D shops, corporate explainer studios</w:t>
            </w:r>
          </w:p>
        </w:tc>
        <w:tc>
          <w:tcPr>
            <w:tcW w:type="dxa" w:w="2200"/>
            <w:shd w:fill="FFFFFF"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Low cost, flexible</w:t>
            </w:r>
          </w:p>
        </w:tc>
        <w:tc>
          <w:tcPr>
            <w:tcW w:type="dxa" w:w="1950"/>
            <w:shd w:fill="FFFFFF"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Inconsistent quality, little original IP ambition</w:t>
            </w:r>
          </w:p>
        </w:tc>
      </w:tr>
      <w:tr>
        <w:tc>
          <w:tcPr>
            <w:tcW w:type="dxa" w:w="2600"/>
            <w:shd w:fill="F5F2FB" w:val="clear"/>
            <w:tcMar>
              <w:top w:type="dxa" w:w="90"/>
              <w:left w:type="dxa" w:w="120"/>
              <w:bottom w:type="dxa" w:w="90"/>
              <w:right w:type="dxa" w:w="120"/>
            </w:tcMar>
            <w:vAlign w:val="center"/>
          </w:tcPr>
          <w:p>
            <w:r>
              <w:rPr>
                <w:rFonts w:ascii="Calibri" w:cs="Calibri" w:eastAsia="Calibri" w:hAnsi="Calibri"/>
                <w:b/>
                <w:bCs/>
                <w:color w:val="1F1B2E"/>
                <w:sz w:val="20"/>
                <w:szCs w:val="20"/>
              </w:rPr>
              <w:t xml:space="preserve">AI-Native Entrants (this company)</w:t>
            </w:r>
          </w:p>
        </w:tc>
        <w:tc>
          <w:tcPr>
            <w:tcW w:type="dxa" w:w="2600"/>
            <w:shd w:fill="F5F2FB"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New AI-first studios entering 2025–26</w:t>
            </w:r>
          </w:p>
        </w:tc>
        <w:tc>
          <w:tcPr>
            <w:tcW w:type="dxa" w:w="2200"/>
            <w:shd w:fill="F5F2FB"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Fast, lean, AI-compressed cost base</w:t>
            </w:r>
          </w:p>
        </w:tc>
        <w:tc>
          <w:tcPr>
            <w:tcW w:type="dxa" w:w="1950"/>
            <w:shd w:fill="F5F2FB"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No track record or platform trust yet</w:t>
            </w:r>
          </w:p>
        </w:tc>
      </w:tr>
    </w:tbl>
    <w:p>
      <w:pPr>
        <w:spacing w:after="160"/>
      </w:pPr>
    </w:p>
    <w:tbl>
      <w:tblPr>
        <w:tblW w:type="pct" w:w="100%"/>
        <w:tblBorders>
          <w:top w:val="none"/>
          <w:left w:val="none"/>
          <w:bottom w:val="none"/>
          <w:right w:val="none"/>
          <w:insideH w:val="none"/>
          <w:insideV w:val="none"/>
        </w:tblBorders>
      </w:tblPr>
      <w:tblGrid>
        <w:gridCol w:w="100"/>
      </w:tblGrid>
      <w:tr>
        <w:tc>
          <w:tcPr>
            <w:shd w:fill="F1EAFB" w:val="clear"/>
            <w:tcMar>
              <w:top w:type="dxa" w:w="160"/>
              <w:left w:type="dxa" w:w="200"/>
              <w:bottom w:type="dxa" w:w="160"/>
              <w:right w:type="dxa" w:w="200"/>
            </w:tcMar>
          </w:tcPr>
          <w:p>
            <w:pPr>
              <w:spacing w:after="60"/>
            </w:pPr>
            <w:r>
              <w:rPr>
                <w:rFonts w:ascii="Calibri" w:cs="Calibri" w:eastAsia="Calibri" w:hAnsi="Calibri"/>
                <w:b/>
                <w:bCs/>
                <w:color w:val="1F1B2E"/>
                <w:sz w:val="22"/>
                <w:szCs w:val="22"/>
              </w:rPr>
              <w:t xml:space="preserve">Positioning</w:t>
            </w:r>
          </w:p>
          <w:p>
            <w:pPr>
              <w:spacing w:after="0"/>
            </w:pPr>
            <w:r>
              <w:rPr>
                <w:rFonts w:ascii="Calibri" w:cs="Calibri" w:eastAsia="Calibri" w:hAnsi="Calibri"/>
                <w:color w:val="1F1B2E"/>
                <w:sz w:val="21"/>
                <w:szCs w:val="21"/>
              </w:rPr>
              <w:t xml:space="preserve">This studio does not compete with Tier 1 on scale or Tier 2 on existing IP libraries. The strategy is to win on speed and cost via AI in the near term, build credibility through delivered work, and only then invest in owned IP — competing on quality and originality rather than price.</w:t>
            </w:r>
          </w:p>
        </w:tc>
      </w:tr>
    </w:tbl>
    <w:p>
      <w:r>
        <w:br w:type="page"/>
      </w:r>
    </w:p>
    <w:p>
      <w:pPr>
        <w:pStyle w:val="Heading1"/>
        <w:spacing w:after="160" w:before="360"/>
      </w:pPr>
      <w:r>
        <w:rPr>
          <w:rFonts w:ascii="Cambria" w:cs="Cambria" w:eastAsia="Cambria" w:hAnsi="Cambria"/>
          <w:b/>
          <w:bCs/>
          <w:color w:val="241242"/>
          <w:sz w:val="32"/>
          <w:szCs w:val="32"/>
        </w:rPr>
        <w:t xml:space="preserve">5. Business Model &amp; Revenue Streams</w:t>
      </w:r>
    </w:p>
    <w:p>
      <w:pPr>
        <w:pStyle w:val="Heading2"/>
        <w:spacing w:after="120" w:before="260"/>
      </w:pPr>
      <w:r>
        <w:rPr>
          <w:rFonts w:ascii="Cambria" w:cs="Cambria" w:eastAsia="Cambria" w:hAnsi="Cambria"/>
          <w:b/>
          <w:bCs/>
          <w:color w:val="7C3AED"/>
          <w:sz w:val="25"/>
          <w:szCs w:val="25"/>
        </w:rPr>
        <w:t xml:space="preserve">5.1 Revenue Stream 1 — AI-Accelerated Production Services</w:t>
      </w:r>
    </w:p>
    <w:p>
      <w:pPr>
        <w:spacing w:after="160" w:line="300"/>
      </w:pPr>
      <w:r>
        <w:rPr>
          <w:rFonts w:ascii="Calibri" w:cs="Calibri" w:eastAsia="Calibri" w:hAnsi="Calibri"/>
          <w:i w:val="false"/>
          <w:iCs w:val="false"/>
          <w:color w:val="1F1B2E"/>
          <w:sz w:val="22"/>
          <w:szCs w:val="22"/>
        </w:rPr>
        <w:t xml:space="preserve">The studio takes on production or co-production work for production houses and, eventually, OTT platforms directly — using its AI-augmented pipeline to deliver faster and at lower cost than traditional studios.</w:t>
      </w:r>
    </w:p>
    <w:p>
      <w:pPr>
        <w:pStyle w:val="ListParagraph"/>
        <w:numPr>
          <w:ilvl w:val="0"/>
          <w:numId w:val="2"/>
        </w:numPr>
        <w:spacing w:after="90" w:line="280"/>
      </w:pPr>
      <w:r>
        <w:rPr>
          <w:rFonts w:ascii="Calibri" w:cs="Calibri" w:eastAsia="Calibri" w:hAnsi="Calibri"/>
          <w:b/>
          <w:bCs/>
          <w:color w:val="1F1B2E"/>
          <w:sz w:val="22"/>
          <w:szCs w:val="22"/>
        </w:rPr>
        <w:t xml:space="preserve">Benefits: </w:t>
      </w:r>
      <w:r>
        <w:rPr>
          <w:rFonts w:ascii="Calibri" w:cs="Calibri" w:eastAsia="Calibri" w:hAnsi="Calibri"/>
          <w:color w:val="1F1B2E"/>
          <w:sz w:val="22"/>
          <w:szCs w:val="22"/>
        </w:rPr>
        <w:t xml:space="preserve">Immediate revenue from day one; builds platform relationships and credibility; lower risk than owned-IP bets.</w:t>
      </w:r>
    </w:p>
    <w:p>
      <w:pPr>
        <w:pStyle w:val="ListParagraph"/>
        <w:numPr>
          <w:ilvl w:val="0"/>
          <w:numId w:val="2"/>
        </w:numPr>
        <w:spacing w:after="90" w:line="280"/>
      </w:pPr>
      <w:r>
        <w:rPr>
          <w:rFonts w:ascii="Calibri" w:cs="Calibri" w:eastAsia="Calibri" w:hAnsi="Calibri"/>
          <w:b/>
          <w:bCs/>
          <w:color w:val="1F1B2E"/>
          <w:sz w:val="22"/>
          <w:szCs w:val="22"/>
        </w:rPr>
        <w:t xml:space="preserve">Trade-offs: </w:t>
      </w:r>
      <w:r>
        <w:rPr>
          <w:rFonts w:ascii="Calibri" w:cs="Calibri" w:eastAsia="Calibri" w:hAnsi="Calibri"/>
          <w:color w:val="1F1B2E"/>
          <w:sz w:val="22"/>
          <w:szCs w:val="22"/>
        </w:rPr>
        <w:t xml:space="preserve">The client owns the IP, not the studio; margins are capped by service pricing; revenue depends on repeat commissions.</w:t>
      </w:r>
    </w:p>
    <w:p>
      <w:pPr>
        <w:spacing w:after="160"/>
      </w:pPr>
    </w:p>
    <w:p>
      <w:pPr>
        <w:pStyle w:val="Heading2"/>
        <w:spacing w:after="120" w:before="260"/>
      </w:pPr>
      <w:r>
        <w:rPr>
          <w:rFonts w:ascii="Cambria" w:cs="Cambria" w:eastAsia="Cambria" w:hAnsi="Cambria"/>
          <w:b/>
          <w:bCs/>
          <w:color w:val="7C3AED"/>
          <w:sz w:val="25"/>
          <w:szCs w:val="25"/>
        </w:rPr>
        <w:t xml:space="preserve">5.2 Revenue Stream 2 — Owned Original IP (Series &amp; Shorts)</w:t>
      </w:r>
    </w:p>
    <w:p>
      <w:pPr>
        <w:spacing w:after="160" w:line="300"/>
      </w:pPr>
      <w:r>
        <w:rPr>
          <w:rFonts w:ascii="Calibri" w:cs="Calibri" w:eastAsia="Calibri" w:hAnsi="Calibri"/>
          <w:i w:val="false"/>
          <w:iCs w:val="false"/>
          <w:color w:val="1F1B2E"/>
          <w:sz w:val="22"/>
          <w:szCs w:val="22"/>
        </w:rPr>
        <w:t xml:space="preserve">Once the studio has delivered credible service work, it begins developing its own original series and short-form content — particularly India-rooted or mythology-based stories — for direct licensing to OTT platforms.</w:t>
      </w:r>
    </w:p>
    <w:p>
      <w:pPr>
        <w:pStyle w:val="ListParagraph"/>
        <w:numPr>
          <w:ilvl w:val="0"/>
          <w:numId w:val="2"/>
        </w:numPr>
        <w:spacing w:after="90" w:line="280"/>
      </w:pPr>
      <w:r>
        <w:rPr>
          <w:rFonts w:ascii="Calibri" w:cs="Calibri" w:eastAsia="Calibri" w:hAnsi="Calibri"/>
          <w:b/>
          <w:bCs/>
          <w:color w:val="1F1B2E"/>
          <w:sz w:val="22"/>
          <w:szCs w:val="22"/>
        </w:rPr>
        <w:t xml:space="preserve">Benefits: </w:t>
      </w:r>
      <w:r>
        <w:rPr>
          <w:rFonts w:ascii="Calibri" w:cs="Calibri" w:eastAsia="Calibri" w:hAnsi="Calibri"/>
          <w:color w:val="1F1B2E"/>
          <w:sz w:val="22"/>
          <w:szCs w:val="22"/>
        </w:rPr>
        <w:t xml:space="preserve">Licensing and syndication revenue over multiple years; mythology and regional stories are difficult for other markets to replicate; meaningful long-term brand and valuation upside.</w:t>
      </w:r>
    </w:p>
    <w:p>
      <w:pPr>
        <w:pStyle w:val="ListParagraph"/>
        <w:numPr>
          <w:ilvl w:val="0"/>
          <w:numId w:val="2"/>
        </w:numPr>
        <w:spacing w:after="90" w:line="280"/>
      </w:pPr>
      <w:r>
        <w:rPr>
          <w:rFonts w:ascii="Calibri" w:cs="Calibri" w:eastAsia="Calibri" w:hAnsi="Calibri"/>
          <w:b/>
          <w:bCs/>
          <w:color w:val="1F1B2E"/>
          <w:sz w:val="22"/>
          <w:szCs w:val="22"/>
        </w:rPr>
        <w:t xml:space="preserve">Trade-offs: </w:t>
      </w:r>
      <w:r>
        <w:rPr>
          <w:rFonts w:ascii="Calibri" w:cs="Calibri" w:eastAsia="Calibri" w:hAnsi="Calibri"/>
          <w:color w:val="1F1B2E"/>
          <w:sz w:val="22"/>
          <w:szCs w:val="22"/>
        </w:rPr>
        <w:t xml:space="preserve">High upfront risk with no guaranteed buyer; a longer payback period; requires stronger storytelling and marketing capability than service work.</w:t>
      </w:r>
    </w:p>
    <w:p>
      <w:pPr>
        <w:spacing w:after="160"/>
      </w:pPr>
    </w:p>
    <w:p>
      <w:pPr>
        <w:pStyle w:val="Heading2"/>
        <w:spacing w:after="120" w:before="260"/>
      </w:pPr>
      <w:r>
        <w:rPr>
          <w:rFonts w:ascii="Cambria" w:cs="Cambria" w:eastAsia="Cambria" w:hAnsi="Cambria"/>
          <w:b/>
          <w:bCs/>
          <w:color w:val="7C3AED"/>
          <w:sz w:val="25"/>
          <w:szCs w:val="25"/>
        </w:rPr>
        <w:t xml:space="preserve">5.3 Pricing Reference Points</w:t>
      </w:r>
    </w:p>
    <w:p>
      <w:pPr>
        <w:spacing w:after="160" w:line="300"/>
      </w:pPr>
      <w:r>
        <w:rPr>
          <w:rFonts w:ascii="Calibri" w:cs="Calibri" w:eastAsia="Calibri" w:hAnsi="Calibri"/>
          <w:i w:val="false"/>
          <w:iCs w:val="false"/>
          <w:color w:val="1F1B2E"/>
          <w:sz w:val="22"/>
          <w:szCs w:val="22"/>
        </w:rPr>
        <w:t xml:space="preserve">Indicative 2026 market pricing for animation production in India, for context when quoting service work:</w:t>
      </w:r>
    </w:p>
    <w:p>
      <w:pPr>
        <w:pStyle w:val="ListParagraph"/>
        <w:numPr>
          <w:ilvl w:val="0"/>
          <w:numId w:val="2"/>
        </w:numPr>
        <w:spacing w:after="90" w:line="280"/>
      </w:pPr>
      <w:r>
        <w:rPr>
          <w:rFonts w:ascii="Calibri" w:cs="Calibri" w:eastAsia="Calibri" w:hAnsi="Calibri"/>
          <w:color w:val="1F1B2E"/>
          <w:sz w:val="22"/>
          <w:szCs w:val="22"/>
        </w:rPr>
        <w:t xml:space="preserve">Basic 3D product animation (15–30 seconds): approximately ₹25,000–₹80,000</w:t>
      </w:r>
    </w:p>
    <w:p>
      <w:pPr>
        <w:pStyle w:val="ListParagraph"/>
        <w:numPr>
          <w:ilvl w:val="0"/>
          <w:numId w:val="2"/>
        </w:numPr>
        <w:spacing w:after="90" w:line="280"/>
      </w:pPr>
      <w:r>
        <w:rPr>
          <w:rFonts w:ascii="Calibri" w:cs="Calibri" w:eastAsia="Calibri" w:hAnsi="Calibri"/>
          <w:color w:val="1F1B2E"/>
          <w:sz w:val="22"/>
          <w:szCs w:val="22"/>
        </w:rPr>
        <w:t xml:space="preserve">Intermediate CGI explainer video (60–90 seconds): approximately ₹80,000–₹3,00,000</w:t>
      </w:r>
    </w:p>
    <w:p>
      <w:pPr>
        <w:pStyle w:val="ListParagraph"/>
        <w:numPr>
          <w:ilvl w:val="0"/>
          <w:numId w:val="2"/>
        </w:numPr>
        <w:spacing w:after="90" w:line="280"/>
      </w:pPr>
      <w:r>
        <w:rPr>
          <w:rFonts w:ascii="Calibri" w:cs="Calibri" w:eastAsia="Calibri" w:hAnsi="Calibri"/>
          <w:color w:val="1F1B2E"/>
          <w:sz w:val="22"/>
          <w:szCs w:val="22"/>
        </w:rPr>
        <w:t xml:space="preserve">High-end cinematic 3D animation (2–3 minutes): approximately ₹3,00,000–₹15,00,000+</w:t>
      </w:r>
    </w:p>
    <w:p>
      <w:pPr>
        <w:pStyle w:val="ListParagraph"/>
        <w:numPr>
          <w:ilvl w:val="0"/>
          <w:numId w:val="2"/>
        </w:numPr>
        <w:spacing w:after="90" w:line="280"/>
      </w:pPr>
      <w:r>
        <w:rPr>
          <w:rFonts w:ascii="Calibri" w:cs="Calibri" w:eastAsia="Calibri" w:hAnsi="Calibri"/>
          <w:color w:val="1F1B2E"/>
          <w:sz w:val="22"/>
          <w:szCs w:val="22"/>
        </w:rPr>
        <w:t xml:space="preserve">AI-accelerated delivery on comparable specs typically commands a 15–30% premium for faster turnaround, while still costing less than fully manual production at the same quality tier</w:t>
      </w:r>
    </w:p>
    <w:p>
      <w:r>
        <w:br w:type="page"/>
      </w:r>
    </w:p>
    <w:p>
      <w:pPr>
        <w:pStyle w:val="Heading1"/>
        <w:spacing w:after="160" w:before="360"/>
      </w:pPr>
      <w:r>
        <w:rPr>
          <w:rFonts w:ascii="Cambria" w:cs="Cambria" w:eastAsia="Cambria" w:hAnsi="Cambria"/>
          <w:b/>
          <w:bCs/>
          <w:color w:val="241242"/>
          <w:sz w:val="32"/>
          <w:szCs w:val="32"/>
        </w:rPr>
        <w:t xml:space="preserve">6. Production Pipeline &amp; Technology</w:t>
      </w:r>
    </w:p>
    <w:p>
      <w:pPr>
        <w:spacing w:after="160" w:line="300"/>
      </w:pPr>
      <w:r>
        <w:rPr>
          <w:rFonts w:ascii="Calibri" w:cs="Calibri" w:eastAsia="Calibri" w:hAnsi="Calibri"/>
          <w:i w:val="false"/>
          <w:iCs w:val="false"/>
          <w:color w:val="1F1B2E"/>
          <w:sz w:val="22"/>
          <w:szCs w:val="22"/>
        </w:rPr>
        <w:t xml:space="preserve">Human creative direction remains at the center of the pipeline; AI is applied specifically to the most repetitive, labor-heavy steps. The eight-stage pipeline is:</w:t>
      </w:r>
    </w:p>
    <w:p>
      <w:pPr>
        <w:pStyle w:val="ListParagraph"/>
        <w:numPr>
          <w:ilvl w:val="0"/>
          <w:numId w:val="2"/>
        </w:numPr>
        <w:spacing w:after="90" w:line="280"/>
      </w:pPr>
      <w:r>
        <w:rPr>
          <w:rFonts w:ascii="Calibri" w:cs="Calibri" w:eastAsia="Calibri" w:hAnsi="Calibri"/>
          <w:color w:val="1F1B2E"/>
          <w:sz w:val="22"/>
          <w:szCs w:val="22"/>
        </w:rPr>
        <w:t xml:space="preserve">1. Concept &amp; Script — human-led story and screenplay development</w:t>
      </w:r>
    </w:p>
    <w:p>
      <w:pPr>
        <w:pStyle w:val="ListParagraph"/>
        <w:numPr>
          <w:ilvl w:val="0"/>
          <w:numId w:val="2"/>
        </w:numPr>
        <w:spacing w:after="90" w:line="280"/>
      </w:pPr>
      <w:r>
        <w:rPr>
          <w:rFonts w:ascii="Calibri" w:cs="Calibri" w:eastAsia="Calibri" w:hAnsi="Calibri"/>
          <w:color w:val="1F1B2E"/>
          <w:sz w:val="22"/>
          <w:szCs w:val="22"/>
        </w:rPr>
        <w:t xml:space="preserve">2. AI Storyboarding — generative tools produce rapid visual drafts for director review</w:t>
      </w:r>
    </w:p>
    <w:p>
      <w:pPr>
        <w:pStyle w:val="ListParagraph"/>
        <w:numPr>
          <w:ilvl w:val="0"/>
          <w:numId w:val="2"/>
        </w:numPr>
        <w:spacing w:after="90" w:line="280"/>
      </w:pPr>
      <w:r>
        <w:rPr>
          <w:rFonts w:ascii="Calibri" w:cs="Calibri" w:eastAsia="Calibri" w:hAnsi="Calibri"/>
          <w:color w:val="1F1B2E"/>
          <w:sz w:val="22"/>
          <w:szCs w:val="22"/>
        </w:rPr>
        <w:t xml:space="preserve">3. AI Asset &amp; Character Generation — backgrounds, props and character bases generated and refined</w:t>
      </w:r>
    </w:p>
    <w:p>
      <w:pPr>
        <w:pStyle w:val="ListParagraph"/>
        <w:numPr>
          <w:ilvl w:val="0"/>
          <w:numId w:val="2"/>
        </w:numPr>
        <w:spacing w:after="90" w:line="280"/>
      </w:pPr>
      <w:r>
        <w:rPr>
          <w:rFonts w:ascii="Calibri" w:cs="Calibri" w:eastAsia="Calibri" w:hAnsi="Calibri"/>
          <w:color w:val="1F1B2E"/>
          <w:sz w:val="22"/>
          <w:szCs w:val="22"/>
        </w:rPr>
        <w:t xml:space="preserve">4. AI Rigging &amp; Motion — automated rigging and motion generation, traditionally the most time-consuming manual step</w:t>
      </w:r>
    </w:p>
    <w:p>
      <w:pPr>
        <w:pStyle w:val="ListParagraph"/>
        <w:numPr>
          <w:ilvl w:val="0"/>
          <w:numId w:val="2"/>
        </w:numPr>
        <w:spacing w:after="90" w:line="280"/>
      </w:pPr>
      <w:r>
        <w:rPr>
          <w:rFonts w:ascii="Calibri" w:cs="Calibri" w:eastAsia="Calibri" w:hAnsi="Calibri"/>
          <w:color w:val="1F1B2E"/>
          <w:sz w:val="22"/>
          <w:szCs w:val="22"/>
        </w:rPr>
        <w:t xml:space="preserve">5. Human Creative QC — artists and directors review, correct and elevate AI output for consistency and style</w:t>
      </w:r>
    </w:p>
    <w:p>
      <w:pPr>
        <w:pStyle w:val="ListParagraph"/>
        <w:numPr>
          <w:ilvl w:val="0"/>
          <w:numId w:val="2"/>
        </w:numPr>
        <w:spacing w:after="90" w:line="280"/>
      </w:pPr>
      <w:r>
        <w:rPr>
          <w:rFonts w:ascii="Calibri" w:cs="Calibri" w:eastAsia="Calibri" w:hAnsi="Calibri"/>
          <w:color w:val="1F1B2E"/>
          <w:sz w:val="22"/>
          <w:szCs w:val="22"/>
        </w:rPr>
        <w:t xml:space="preserve">6. Sound &amp; AI Lip-Sync — voice recording paired with AI-assisted lip-sync automation</w:t>
      </w:r>
    </w:p>
    <w:p>
      <w:pPr>
        <w:pStyle w:val="ListParagraph"/>
        <w:numPr>
          <w:ilvl w:val="0"/>
          <w:numId w:val="2"/>
        </w:numPr>
        <w:spacing w:after="90" w:line="280"/>
      </w:pPr>
      <w:r>
        <w:rPr>
          <w:rFonts w:ascii="Calibri" w:cs="Calibri" w:eastAsia="Calibri" w:hAnsi="Calibri"/>
          <w:color w:val="1F1B2E"/>
          <w:sz w:val="22"/>
          <w:szCs w:val="22"/>
        </w:rPr>
        <w:t xml:space="preserve">7. Render &amp; Compositing — final frame assembly and visual polish</w:t>
      </w:r>
    </w:p>
    <w:p>
      <w:pPr>
        <w:pStyle w:val="ListParagraph"/>
        <w:numPr>
          <w:ilvl w:val="0"/>
          <w:numId w:val="2"/>
        </w:numPr>
        <w:spacing w:after="90" w:line="280"/>
      </w:pPr>
      <w:r>
        <w:rPr>
          <w:rFonts w:ascii="Calibri" w:cs="Calibri" w:eastAsia="Calibri" w:hAnsi="Calibri"/>
          <w:color w:val="1F1B2E"/>
          <w:sz w:val="22"/>
          <w:szCs w:val="22"/>
        </w:rPr>
        <w:t xml:space="preserve">8. Delivery &amp; Platform Compliance — technical QC and delivery to platform specifications (including TPN compliance where required for major streamers)</w:t>
      </w:r>
    </w:p>
    <w:p>
      <w:pPr>
        <w:spacing w:after="160"/>
      </w:pPr>
    </w:p>
    <w:p>
      <w:pPr>
        <w:pStyle w:val="Heading2"/>
        <w:spacing w:after="120" w:before="260"/>
      </w:pPr>
      <w:r>
        <w:rPr>
          <w:rFonts w:ascii="Cambria" w:cs="Cambria" w:eastAsia="Cambria" w:hAnsi="Cambria"/>
          <w:b/>
          <w:bCs/>
          <w:color w:val="7C3AED"/>
          <w:sz w:val="25"/>
          <w:szCs w:val="25"/>
        </w:rPr>
        <w:t xml:space="preserve">6.1 Cost &amp; Speed Advantage</w:t>
      </w:r>
    </w:p>
    <w:p>
      <w:pPr>
        <w:spacing w:after="160" w:line="300"/>
      </w:pPr>
      <w:r>
        <w:rPr>
          <w:rFonts w:ascii="Calibri" w:cs="Calibri" w:eastAsia="Calibri" w:hAnsi="Calibri"/>
          <w:i w:val="false"/>
          <w:iCs w:val="false"/>
          <w:color w:val="1F1B2E"/>
          <w:sz w:val="22"/>
          <w:szCs w:val="22"/>
        </w:rPr>
        <w:t xml:space="preserve">Illustrative comparison, indexed to a traditional production baseline of 100 for cost and 10 weeks for delivery, per minute of finished animation:</w:t>
      </w:r>
    </w:p>
    <w:tbl>
      <w:tblPr>
        <w:tblW w:type="dxa" w:w="9350"/>
        <w:tblBorders>
          <w:top w:val="single" w:color="FFFFFF" w:sz="4"/>
          <w:left w:val="single" w:color="FFFFFF" w:sz="4"/>
          <w:bottom w:val="single" w:color="FFFFFF" w:sz="4"/>
          <w:right w:val="single" w:color="FFFFFF" w:sz="4"/>
          <w:insideH w:val="single" w:color="FFFFFF" w:sz="4"/>
          <w:insideV w:val="single" w:color="FFFFFF" w:sz="4"/>
        </w:tblBorders>
      </w:tblPr>
      <w:tblGrid>
        <w:gridCol w:w="3116"/>
        <w:gridCol w:w="3116"/>
        <w:gridCol w:w="3116"/>
      </w:tblGrid>
      <w:tr>
        <w:trPr>
          <w:tblHeader/>
        </w:trPr>
        <w:tc>
          <w:tcPr>
            <w:tcW w:type="dxa" w:w="3116"/>
            <w:shd w:fill="241242"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Pipeline</w:t>
            </w:r>
          </w:p>
        </w:tc>
        <w:tc>
          <w:tcPr>
            <w:tcW w:type="dxa" w:w="3116"/>
            <w:shd w:fill="241242"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Cost Index</w:t>
            </w:r>
          </w:p>
        </w:tc>
        <w:tc>
          <w:tcPr>
            <w:tcW w:type="dxa" w:w="3116"/>
            <w:shd w:fill="241242"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Delivery Time</w:t>
            </w:r>
          </w:p>
        </w:tc>
      </w:tr>
      <w:tr>
        <w:tc>
          <w:tcPr>
            <w:tcW w:type="dxa" w:w="3116"/>
            <w:shd w:fill="FFFFFF" w:val="clear"/>
            <w:tcMar>
              <w:top w:type="dxa" w:w="90"/>
              <w:left w:type="dxa" w:w="120"/>
              <w:bottom w:type="dxa" w:w="90"/>
              <w:right w:type="dxa" w:w="120"/>
            </w:tcMar>
            <w:vAlign w:val="center"/>
          </w:tcPr>
          <w:p>
            <w:r>
              <w:rPr>
                <w:rFonts w:ascii="Calibri" w:cs="Calibri" w:eastAsia="Calibri" w:hAnsi="Calibri"/>
                <w:b/>
                <w:bCs/>
                <w:color w:val="1F1B2E"/>
                <w:sz w:val="20"/>
                <w:szCs w:val="20"/>
              </w:rPr>
              <w:t xml:space="preserve">Traditional Pipeline</w:t>
            </w:r>
          </w:p>
        </w:tc>
        <w:tc>
          <w:tcPr>
            <w:tcW w:type="dxa" w:w="3116"/>
            <w:shd w:fill="FFFFFF"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100</w:t>
            </w:r>
          </w:p>
        </w:tc>
        <w:tc>
          <w:tcPr>
            <w:tcW w:type="dxa" w:w="3116"/>
            <w:shd w:fill="FFFFFF"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~10 weeks</w:t>
            </w:r>
          </w:p>
        </w:tc>
      </w:tr>
      <w:tr>
        <w:tc>
          <w:tcPr>
            <w:tcW w:type="dxa" w:w="3116"/>
            <w:shd w:fill="F5F2FB" w:val="clear"/>
            <w:tcMar>
              <w:top w:type="dxa" w:w="90"/>
              <w:left w:type="dxa" w:w="120"/>
              <w:bottom w:type="dxa" w:w="90"/>
              <w:right w:type="dxa" w:w="120"/>
            </w:tcMar>
            <w:vAlign w:val="center"/>
          </w:tcPr>
          <w:p>
            <w:r>
              <w:rPr>
                <w:rFonts w:ascii="Calibri" w:cs="Calibri" w:eastAsia="Calibri" w:hAnsi="Calibri"/>
                <w:b/>
                <w:bCs/>
                <w:color w:val="1F1B2E"/>
                <w:sz w:val="20"/>
                <w:szCs w:val="20"/>
              </w:rPr>
              <w:t xml:space="preserve">AI-Augmented Pipeline</w:t>
            </w:r>
          </w:p>
        </w:tc>
        <w:tc>
          <w:tcPr>
            <w:tcW w:type="dxa" w:w="3116"/>
            <w:shd w:fill="F5F2FB"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~55</w:t>
            </w:r>
          </w:p>
        </w:tc>
        <w:tc>
          <w:tcPr>
            <w:tcW w:type="dxa" w:w="3116"/>
            <w:shd w:fill="F5F2FB"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~5 weeks</w:t>
            </w:r>
          </w:p>
        </w:tc>
      </w:tr>
    </w:tbl>
    <w:p>
      <w:pPr>
        <w:spacing w:after="160"/>
      </w:pPr>
    </w:p>
    <w:tbl>
      <w:tblPr>
        <w:tblW w:type="pct" w:w="100%"/>
        <w:tblBorders>
          <w:top w:val="none"/>
          <w:left w:val="none"/>
          <w:bottom w:val="none"/>
          <w:right w:val="none"/>
          <w:insideH w:val="none"/>
          <w:insideV w:val="none"/>
        </w:tblBorders>
      </w:tblPr>
      <w:tblGrid>
        <w:gridCol w:w="100"/>
      </w:tblGrid>
      <w:tr>
        <w:tc>
          <w:tcPr>
            <w:shd w:fill="E6FBF8" w:val="clear"/>
            <w:tcMar>
              <w:top w:type="dxa" w:w="160"/>
              <w:left w:type="dxa" w:w="200"/>
              <w:bottom w:type="dxa" w:w="160"/>
              <w:right w:type="dxa" w:w="200"/>
            </w:tcMar>
          </w:tcPr>
          <w:p>
            <w:pPr>
              <w:spacing w:after="60"/>
            </w:pPr>
            <w:r>
              <w:rPr>
                <w:rFonts w:ascii="Calibri" w:cs="Calibri" w:eastAsia="Calibri" w:hAnsi="Calibri"/>
                <w:b/>
                <w:bCs/>
                <w:color w:val="1F1B2E"/>
                <w:sz w:val="22"/>
                <w:szCs w:val="22"/>
              </w:rPr>
              <w:t xml:space="preserve">Caution</w:t>
            </w:r>
          </w:p>
          <w:p>
            <w:pPr>
              <w:spacing w:after="0"/>
            </w:pPr>
            <w:r>
              <w:rPr>
                <w:rFonts w:ascii="Calibri" w:cs="Calibri" w:eastAsia="Calibri" w:hAnsi="Calibri"/>
                <w:color w:val="1F1B2E"/>
                <w:sz w:val="21"/>
                <w:szCs w:val="21"/>
              </w:rPr>
              <w:t xml:space="preserve">These figures are illustrative planning assumptions based on industry reporting on AI's impact on rigging and in-betweening — not a guaranteed outcome for this specific studio. Actual savings will depend on project complexity, tool selection and team skill.</w:t>
            </w:r>
          </w:p>
        </w:tc>
      </w:tr>
    </w:tbl>
    <w:p>
      <w:r>
        <w:br w:type="page"/>
      </w:r>
    </w:p>
    <w:p>
      <w:pPr>
        <w:pStyle w:val="Heading1"/>
        <w:spacing w:after="160" w:before="360"/>
      </w:pPr>
      <w:r>
        <w:rPr>
          <w:rFonts w:ascii="Cambria" w:cs="Cambria" w:eastAsia="Cambria" w:hAnsi="Cambria"/>
          <w:b/>
          <w:bCs/>
          <w:color w:val="241242"/>
          <w:sz w:val="32"/>
          <w:szCs w:val="32"/>
        </w:rPr>
        <w:t xml:space="preserve">7. Marketing &amp; Go-to-Market Strategy</w:t>
      </w:r>
    </w:p>
    <w:p>
      <w:pPr>
        <w:pStyle w:val="ListParagraph"/>
        <w:numPr>
          <w:ilvl w:val="0"/>
          <w:numId w:val="2"/>
        </w:numPr>
        <w:spacing w:after="90" w:line="280"/>
      </w:pPr>
      <w:r>
        <w:rPr>
          <w:rFonts w:ascii="Calibri" w:cs="Calibri" w:eastAsia="Calibri" w:hAnsi="Calibri"/>
          <w:b/>
          <w:bCs/>
          <w:color w:val="1F1B2E"/>
          <w:sz w:val="22"/>
          <w:szCs w:val="22"/>
        </w:rPr>
        <w:t xml:space="preserve">Ship a proof-of-concept short — </w:t>
      </w:r>
      <w:r>
        <w:rPr>
          <w:rFonts w:ascii="Calibri" w:cs="Calibri" w:eastAsia="Calibri" w:hAnsi="Calibri"/>
          <w:color w:val="1F1B2E"/>
          <w:sz w:val="22"/>
          <w:szCs w:val="22"/>
        </w:rPr>
        <w:t xml:space="preserve">a 3–5 minute festival-quality short film, fully AI-augmented, used as a portfolio calling card rather than a pitch deck alone.</w:t>
      </w:r>
    </w:p>
    <w:p>
      <w:pPr>
        <w:pStyle w:val="ListParagraph"/>
        <w:numPr>
          <w:ilvl w:val="0"/>
          <w:numId w:val="2"/>
        </w:numPr>
        <w:spacing w:after="90" w:line="280"/>
      </w:pPr>
      <w:r>
        <w:rPr>
          <w:rFonts w:ascii="Calibri" w:cs="Calibri" w:eastAsia="Calibri" w:hAnsi="Calibri"/>
          <w:b/>
          <w:bCs/>
          <w:color w:val="1F1B2E"/>
          <w:sz w:val="22"/>
          <w:szCs w:val="22"/>
        </w:rPr>
        <w:t xml:space="preserve">Target production houses first — </w:t>
      </w:r>
      <w:r>
        <w:rPr>
          <w:rFonts w:ascii="Calibri" w:cs="Calibri" w:eastAsia="Calibri" w:hAnsi="Calibri"/>
          <w:color w:val="1F1B2E"/>
          <w:sz w:val="22"/>
          <w:szCs w:val="22"/>
        </w:rPr>
        <w:t xml:space="preserve">position as an execution partner for houses that already have OTT relationships but need faster delivery, rather than trying to win direct OTT commissions immediately.</w:t>
      </w:r>
    </w:p>
    <w:p>
      <w:pPr>
        <w:pStyle w:val="ListParagraph"/>
        <w:numPr>
          <w:ilvl w:val="0"/>
          <w:numId w:val="2"/>
        </w:numPr>
        <w:spacing w:after="90" w:line="280"/>
      </w:pPr>
      <w:r>
        <w:rPr>
          <w:rFonts w:ascii="Calibri" w:cs="Calibri" w:eastAsia="Calibri" w:hAnsi="Calibri"/>
          <w:b/>
          <w:bCs/>
          <w:color w:val="1F1B2E"/>
          <w:sz w:val="22"/>
          <w:szCs w:val="22"/>
        </w:rPr>
        <w:t xml:space="preserve">Lean into mythology &amp; regional IP — </w:t>
      </w:r>
      <w:r>
        <w:rPr>
          <w:rFonts w:ascii="Calibri" w:cs="Calibri" w:eastAsia="Calibri" w:hAnsi="Calibri"/>
          <w:color w:val="1F1B2E"/>
          <w:sz w:val="22"/>
          <w:szCs w:val="22"/>
        </w:rPr>
        <w:t xml:space="preserve">India-rooted stories are a proven differentiator that global platforms are actively seeking out.</w:t>
      </w:r>
    </w:p>
    <w:p>
      <w:pPr>
        <w:pStyle w:val="ListParagraph"/>
        <w:numPr>
          <w:ilvl w:val="0"/>
          <w:numId w:val="2"/>
        </w:numPr>
        <w:spacing w:after="90" w:line="280"/>
      </w:pPr>
      <w:r>
        <w:rPr>
          <w:rFonts w:ascii="Calibri" w:cs="Calibri" w:eastAsia="Calibri" w:hAnsi="Calibri"/>
          <w:b/>
          <w:bCs/>
          <w:color w:val="1F1B2E"/>
          <w:sz w:val="22"/>
          <w:szCs w:val="22"/>
        </w:rPr>
        <w:t xml:space="preserve">Leverage AVGC government support — </w:t>
      </w:r>
      <w:r>
        <w:rPr>
          <w:rFonts w:ascii="Calibri" w:cs="Calibri" w:eastAsia="Calibri" w:hAnsi="Calibri"/>
          <w:color w:val="1F1B2E"/>
          <w:sz w:val="22"/>
          <w:szCs w:val="22"/>
        </w:rPr>
        <w:t xml:space="preserve">apply for relevant skilling and incentive programs to offset early production costs.</w:t>
      </w:r>
    </w:p>
    <w:p>
      <w:pPr>
        <w:pStyle w:val="ListParagraph"/>
        <w:numPr>
          <w:ilvl w:val="0"/>
          <w:numId w:val="2"/>
        </w:numPr>
        <w:spacing w:after="90" w:line="280"/>
      </w:pPr>
      <w:r>
        <w:rPr>
          <w:rFonts w:ascii="Calibri" w:cs="Calibri" w:eastAsia="Calibri" w:hAnsi="Calibri"/>
          <w:b/>
          <w:bCs/>
          <w:color w:val="1F1B2E"/>
          <w:sz w:val="22"/>
          <w:szCs w:val="22"/>
        </w:rPr>
        <w:t xml:space="preserve">Show up at festivals &amp; markets — </w:t>
      </w:r>
      <w:r>
        <w:rPr>
          <w:rFonts w:ascii="Calibri" w:cs="Calibri" w:eastAsia="Calibri" w:hAnsi="Calibri"/>
          <w:color w:val="1F1B2E"/>
          <w:sz w:val="22"/>
          <w:szCs w:val="22"/>
        </w:rPr>
        <w:t xml:space="preserve">presence at MIFF, Annecy India-linked events, and OTT content markets to get in front of commissioning teams.</w:t>
      </w:r>
    </w:p>
    <w:p>
      <w:pPr>
        <w:pStyle w:val="ListParagraph"/>
        <w:numPr>
          <w:ilvl w:val="0"/>
          <w:numId w:val="2"/>
        </w:numPr>
        <w:spacing w:after="90" w:line="280"/>
      </w:pPr>
      <w:r>
        <w:rPr>
          <w:rFonts w:ascii="Calibri" w:cs="Calibri" w:eastAsia="Calibri" w:hAnsi="Calibri"/>
          <w:b/>
          <w:bCs/>
          <w:color w:val="1F1B2E"/>
          <w:sz w:val="22"/>
          <w:szCs w:val="22"/>
        </w:rPr>
        <w:t xml:space="preserve">Let track record do the pitching — </w:t>
      </w:r>
      <w:r>
        <w:rPr>
          <w:rFonts w:ascii="Calibri" w:cs="Calibri" w:eastAsia="Calibri" w:hAnsi="Calibri"/>
          <w:color w:val="1F1B2E"/>
          <w:sz w:val="22"/>
          <w:szCs w:val="22"/>
        </w:rPr>
        <w:t xml:space="preserve">every delivered pilot becomes the credibility asset that opens the next, larger commission.</w:t>
      </w:r>
    </w:p>
    <w:p>
      <w:r>
        <w:br w:type="page"/>
      </w:r>
    </w:p>
    <w:p>
      <w:pPr>
        <w:pStyle w:val="Heading1"/>
        <w:spacing w:after="160" w:before="360"/>
      </w:pPr>
      <w:r>
        <w:rPr>
          <w:rFonts w:ascii="Cambria" w:cs="Cambria" w:eastAsia="Cambria" w:hAnsi="Cambria"/>
          <w:b/>
          <w:bCs/>
          <w:color w:val="241242"/>
          <w:sz w:val="32"/>
          <w:szCs w:val="32"/>
        </w:rPr>
        <w:t xml:space="preserve">8. Operations Plan</w:t>
      </w:r>
    </w:p>
    <w:p>
      <w:pPr>
        <w:pStyle w:val="Heading2"/>
        <w:spacing w:after="120" w:before="260"/>
      </w:pPr>
      <w:r>
        <w:rPr>
          <w:rFonts w:ascii="Cambria" w:cs="Cambria" w:eastAsia="Cambria" w:hAnsi="Cambria"/>
          <w:b/>
          <w:bCs/>
          <w:color w:val="7C3AED"/>
          <w:sz w:val="25"/>
          <w:szCs w:val="25"/>
        </w:rPr>
        <w:t xml:space="preserve">8.1 Location</w:t>
      </w:r>
    </w:p>
    <w:p>
      <w:pPr>
        <w:spacing w:after="160" w:line="300"/>
      </w:pPr>
      <w:r>
        <w:rPr>
          <w:rFonts w:ascii="Calibri" w:cs="Calibri" w:eastAsia="Calibri" w:hAnsi="Calibri"/>
          <w:i w:val="false"/>
          <w:iCs w:val="false"/>
          <w:color w:val="1F1B2E"/>
          <w:sz w:val="22"/>
          <w:szCs w:val="22"/>
        </w:rPr>
        <w:t xml:space="preserve">India's animation and VFX hubs are concentrated in Mumbai (film and OTT), Hyderabad (studio infrastructure, Netflix's new hub), Bengaluru and Pune (tech-driven studios), and Chennai (production and training talent). An early-stage studio should base itself in one of these clusters to access talent pipelines and client proximity — Hyderabad or Bengaluru offer the strongest combination of AI/tech talent and animation infrastructure.</w:t>
      </w:r>
    </w:p>
    <w:p>
      <w:pPr>
        <w:pStyle w:val="Heading2"/>
        <w:spacing w:after="120" w:before="260"/>
      </w:pPr>
      <w:r>
        <w:rPr>
          <w:rFonts w:ascii="Cambria" w:cs="Cambria" w:eastAsia="Cambria" w:hAnsi="Cambria"/>
          <w:b/>
          <w:bCs/>
          <w:color w:val="7C3AED"/>
          <w:sz w:val="25"/>
          <w:szCs w:val="25"/>
        </w:rPr>
        <w:t xml:space="preserve">8.2 Team Structure (Early Stage)</w:t>
      </w:r>
    </w:p>
    <w:p>
      <w:pPr>
        <w:pStyle w:val="ListParagraph"/>
        <w:numPr>
          <w:ilvl w:val="0"/>
          <w:numId w:val="2"/>
        </w:numPr>
        <w:spacing w:after="90" w:line="280"/>
      </w:pPr>
      <w:r>
        <w:rPr>
          <w:rFonts w:ascii="Calibri" w:cs="Calibri" w:eastAsia="Calibri" w:hAnsi="Calibri"/>
          <w:color w:val="1F1B2E"/>
          <w:sz w:val="22"/>
          <w:szCs w:val="22"/>
        </w:rPr>
        <w:t xml:space="preserve">Founder(s) / Creative Director — story, style and client relationships</w:t>
      </w:r>
    </w:p>
    <w:p>
      <w:pPr>
        <w:pStyle w:val="ListParagraph"/>
        <w:numPr>
          <w:ilvl w:val="0"/>
          <w:numId w:val="2"/>
        </w:numPr>
        <w:spacing w:after="90" w:line="280"/>
      </w:pPr>
      <w:r>
        <w:rPr>
          <w:rFonts w:ascii="Calibri" w:cs="Calibri" w:eastAsia="Calibri" w:hAnsi="Calibri"/>
          <w:color w:val="1F1B2E"/>
          <w:sz w:val="22"/>
          <w:szCs w:val="22"/>
        </w:rPr>
        <w:t xml:space="preserve">AI Pipeline Lead — owns tool selection, integration and technical workflow</w:t>
      </w:r>
    </w:p>
    <w:p>
      <w:pPr>
        <w:pStyle w:val="ListParagraph"/>
        <w:numPr>
          <w:ilvl w:val="0"/>
          <w:numId w:val="2"/>
        </w:numPr>
        <w:spacing w:after="90" w:line="280"/>
      </w:pPr>
      <w:r>
        <w:rPr>
          <w:rFonts w:ascii="Calibri" w:cs="Calibri" w:eastAsia="Calibri" w:hAnsi="Calibri"/>
          <w:color w:val="1F1B2E"/>
          <w:sz w:val="22"/>
          <w:szCs w:val="22"/>
        </w:rPr>
        <w:t xml:space="preserve">2–4 Artists/Animators — human QC, art direction, and finishing work</w:t>
      </w:r>
    </w:p>
    <w:p>
      <w:pPr>
        <w:pStyle w:val="ListParagraph"/>
        <w:numPr>
          <w:ilvl w:val="0"/>
          <w:numId w:val="2"/>
        </w:numPr>
        <w:spacing w:after="90" w:line="280"/>
      </w:pPr>
      <w:r>
        <w:rPr>
          <w:rFonts w:ascii="Calibri" w:cs="Calibri" w:eastAsia="Calibri" w:hAnsi="Calibri"/>
          <w:color w:val="1F1B2E"/>
          <w:sz w:val="22"/>
          <w:szCs w:val="22"/>
        </w:rPr>
        <w:t xml:space="preserve">Sound Designer (freelance/contract initially)</w:t>
      </w:r>
    </w:p>
    <w:p>
      <w:pPr>
        <w:pStyle w:val="ListParagraph"/>
        <w:numPr>
          <w:ilvl w:val="0"/>
          <w:numId w:val="2"/>
        </w:numPr>
        <w:spacing w:after="90" w:line="280"/>
      </w:pPr>
      <w:r>
        <w:rPr>
          <w:rFonts w:ascii="Calibri" w:cs="Calibri" w:eastAsia="Calibri" w:hAnsi="Calibri"/>
          <w:color w:val="1F1B2E"/>
          <w:sz w:val="22"/>
          <w:szCs w:val="22"/>
        </w:rPr>
        <w:t xml:space="preserve">Business Development / Producer — client relationships and project management</w:t>
      </w:r>
    </w:p>
    <w:p>
      <w:pPr>
        <w:pStyle w:val="Heading2"/>
        <w:spacing w:after="120" w:before="260"/>
      </w:pPr>
      <w:r>
        <w:rPr>
          <w:rFonts w:ascii="Cambria" w:cs="Cambria" w:eastAsia="Cambria" w:hAnsi="Cambria"/>
          <w:b/>
          <w:bCs/>
          <w:color w:val="7C3AED"/>
          <w:sz w:val="25"/>
          <w:szCs w:val="25"/>
        </w:rPr>
        <w:t xml:space="preserve">8.3 Key Operational Risks</w:t>
      </w:r>
    </w:p>
    <w:p>
      <w:pPr>
        <w:pStyle w:val="ListParagraph"/>
        <w:numPr>
          <w:ilvl w:val="0"/>
          <w:numId w:val="2"/>
        </w:numPr>
        <w:spacing w:after="90" w:line="280"/>
      </w:pPr>
      <w:r>
        <w:rPr>
          <w:rFonts w:ascii="Calibri" w:cs="Calibri" w:eastAsia="Calibri" w:hAnsi="Calibri"/>
          <w:color w:val="1F1B2E"/>
          <w:sz w:val="22"/>
          <w:szCs w:val="22"/>
        </w:rPr>
        <w:t xml:space="preserve">Dependence on a small number of AI tool vendors whose pricing or capabilities may change</w:t>
      </w:r>
    </w:p>
    <w:p>
      <w:pPr>
        <w:pStyle w:val="ListParagraph"/>
        <w:numPr>
          <w:ilvl w:val="0"/>
          <w:numId w:val="2"/>
        </w:numPr>
        <w:spacing w:after="90" w:line="280"/>
      </w:pPr>
      <w:r>
        <w:rPr>
          <w:rFonts w:ascii="Calibri" w:cs="Calibri" w:eastAsia="Calibri" w:hAnsi="Calibri"/>
          <w:color w:val="1F1B2E"/>
          <w:sz w:val="22"/>
          <w:szCs w:val="22"/>
        </w:rPr>
        <w:t xml:space="preserve">Talent retention in a competitive market where AI skills are in high demand</w:t>
      </w:r>
    </w:p>
    <w:p>
      <w:pPr>
        <w:pStyle w:val="ListParagraph"/>
        <w:numPr>
          <w:ilvl w:val="0"/>
          <w:numId w:val="2"/>
        </w:numPr>
        <w:spacing w:after="90" w:line="280"/>
      </w:pPr>
      <w:r>
        <w:rPr>
          <w:rFonts w:ascii="Calibri" w:cs="Calibri" w:eastAsia="Calibri" w:hAnsi="Calibri"/>
          <w:color w:val="1F1B2E"/>
          <w:sz w:val="22"/>
          <w:szCs w:val="22"/>
        </w:rPr>
        <w:t xml:space="preserve">Maintaining consistent visual quality across AI-generated and human-finished elements</w:t>
      </w:r>
    </w:p>
    <w:p>
      <w:r>
        <w:br w:type="page"/>
      </w:r>
    </w:p>
    <w:p>
      <w:pPr>
        <w:pStyle w:val="Heading1"/>
        <w:spacing w:after="160" w:before="360"/>
      </w:pPr>
      <w:r>
        <w:rPr>
          <w:rFonts w:ascii="Cambria" w:cs="Cambria" w:eastAsia="Cambria" w:hAnsi="Cambria"/>
          <w:b/>
          <w:bCs/>
          <w:color w:val="241242"/>
          <w:sz w:val="32"/>
          <w:szCs w:val="32"/>
        </w:rPr>
        <w:t xml:space="preserve">9. Financial Plan</w:t>
      </w:r>
    </w:p>
    <w:p>
      <w:pPr>
        <w:pStyle w:val="Heading2"/>
        <w:spacing w:after="120" w:before="260"/>
      </w:pPr>
      <w:r>
        <w:rPr>
          <w:rFonts w:ascii="Cambria" w:cs="Cambria" w:eastAsia="Cambria" w:hAnsi="Cambria"/>
          <w:b/>
          <w:bCs/>
          <w:color w:val="7C3AED"/>
          <w:sz w:val="25"/>
          <w:szCs w:val="25"/>
        </w:rPr>
        <w:t xml:space="preserve">9.1 Illustrative Cost Structure</w:t>
      </w:r>
    </w:p>
    <w:p>
      <w:pPr>
        <w:spacing w:after="160" w:line="300"/>
      </w:pPr>
      <w:r>
        <w:rPr>
          <w:rFonts w:ascii="Calibri" w:cs="Calibri" w:eastAsia="Calibri" w:hAnsi="Calibri"/>
          <w:i w:val="false"/>
          <w:iCs w:val="false"/>
          <w:color w:val="1F1B2E"/>
          <w:sz w:val="22"/>
          <w:szCs w:val="22"/>
        </w:rPr>
        <w:t xml:space="preserve">For an early service-based project, indicative cost allocation per minute of finished animation might look like the following. Actual figures will vary significantly by project scope and should be modelled per client brief.</w:t>
      </w:r>
    </w:p>
    <w:tbl>
      <w:tblPr>
        <w:tblW w:type="dxa" w:w="9350"/>
        <w:tblBorders>
          <w:top w:val="single" w:color="FFFFFF" w:sz="4"/>
          <w:left w:val="single" w:color="FFFFFF" w:sz="4"/>
          <w:bottom w:val="single" w:color="FFFFFF" w:sz="4"/>
          <w:right w:val="single" w:color="FFFFFF" w:sz="4"/>
          <w:insideH w:val="single" w:color="FFFFFF" w:sz="4"/>
          <w:insideV w:val="single" w:color="FFFFFF" w:sz="4"/>
        </w:tblBorders>
      </w:tblPr>
      <w:tblGrid>
        <w:gridCol w:w="4675"/>
        <w:gridCol w:w="4675"/>
      </w:tblGrid>
      <w:tr>
        <w:trPr>
          <w:tblHeader/>
        </w:trPr>
        <w:tc>
          <w:tcPr>
            <w:tcW w:type="dxa" w:w="4675"/>
            <w:shd w:fill="241242"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Cost Component</w:t>
            </w:r>
          </w:p>
        </w:tc>
        <w:tc>
          <w:tcPr>
            <w:tcW w:type="dxa" w:w="4675"/>
            <w:shd w:fill="241242"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Approx. Share of Revenue</w:t>
            </w:r>
          </w:p>
        </w:tc>
      </w:tr>
      <w:tr>
        <w:tc>
          <w:tcPr>
            <w:tcW w:type="dxa" w:w="4675"/>
            <w:shd w:fill="FFFFFF" w:val="clear"/>
            <w:tcMar>
              <w:top w:type="dxa" w:w="90"/>
              <w:left w:type="dxa" w:w="120"/>
              <w:bottom w:type="dxa" w:w="90"/>
              <w:right w:type="dxa" w:w="120"/>
            </w:tcMar>
            <w:vAlign w:val="center"/>
          </w:tcPr>
          <w:p>
            <w:r>
              <w:rPr>
                <w:rFonts w:ascii="Calibri" w:cs="Calibri" w:eastAsia="Calibri" w:hAnsi="Calibri"/>
                <w:b/>
                <w:bCs/>
                <w:color w:val="1F1B2E"/>
                <w:sz w:val="20"/>
                <w:szCs w:val="20"/>
              </w:rPr>
              <w:t xml:space="preserve">Talent &amp; production (art, animation, direction)</w:t>
            </w:r>
          </w:p>
        </w:tc>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40%</w:t>
            </w:r>
          </w:p>
        </w:tc>
      </w:tr>
      <w:tr>
        <w:tc>
          <w:tcPr>
            <w:tcW w:type="dxa" w:w="4675"/>
            <w:shd w:fill="F5F2FB" w:val="clear"/>
            <w:tcMar>
              <w:top w:type="dxa" w:w="90"/>
              <w:left w:type="dxa" w:w="120"/>
              <w:bottom w:type="dxa" w:w="90"/>
              <w:right w:type="dxa" w:w="120"/>
            </w:tcMar>
            <w:vAlign w:val="center"/>
          </w:tcPr>
          <w:p>
            <w:r>
              <w:rPr>
                <w:rFonts w:ascii="Calibri" w:cs="Calibri" w:eastAsia="Calibri" w:hAnsi="Calibri"/>
                <w:b/>
                <w:bCs/>
                <w:color w:val="1F1B2E"/>
                <w:sz w:val="20"/>
                <w:szCs w:val="20"/>
              </w:rPr>
              <w:t xml:space="preserve">AI tooling &amp; compute</w:t>
            </w:r>
          </w:p>
        </w:tc>
        <w:tc>
          <w:tcPr>
            <w:tcW w:type="dxa" w:w="4675"/>
            <w:shd w:fill="F5F2FB"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10%</w:t>
            </w:r>
          </w:p>
        </w:tc>
      </w:tr>
      <w:tr>
        <w:tc>
          <w:tcPr>
            <w:tcW w:type="dxa" w:w="4675"/>
            <w:shd w:fill="FFFFFF" w:val="clear"/>
            <w:tcMar>
              <w:top w:type="dxa" w:w="90"/>
              <w:left w:type="dxa" w:w="120"/>
              <w:bottom w:type="dxa" w:w="90"/>
              <w:right w:type="dxa" w:w="120"/>
            </w:tcMar>
            <w:vAlign w:val="center"/>
          </w:tcPr>
          <w:p>
            <w:r>
              <w:rPr>
                <w:rFonts w:ascii="Calibri" w:cs="Calibri" w:eastAsia="Calibri" w:hAnsi="Calibri"/>
                <w:b/>
                <w:bCs/>
                <w:color w:val="1F1B2E"/>
                <w:sz w:val="20"/>
                <w:szCs w:val="20"/>
              </w:rPr>
              <w:t xml:space="preserve">Sound &amp; post-production</w:t>
            </w:r>
          </w:p>
        </w:tc>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10%</w:t>
            </w:r>
          </w:p>
        </w:tc>
      </w:tr>
      <w:tr>
        <w:tc>
          <w:tcPr>
            <w:tcW w:type="dxa" w:w="4675"/>
            <w:shd w:fill="F5F2FB" w:val="clear"/>
            <w:tcMar>
              <w:top w:type="dxa" w:w="90"/>
              <w:left w:type="dxa" w:w="120"/>
              <w:bottom w:type="dxa" w:w="90"/>
              <w:right w:type="dxa" w:w="120"/>
            </w:tcMar>
            <w:vAlign w:val="center"/>
          </w:tcPr>
          <w:p>
            <w:r>
              <w:rPr>
                <w:rFonts w:ascii="Calibri" w:cs="Calibri" w:eastAsia="Calibri" w:hAnsi="Calibri"/>
                <w:b/>
                <w:bCs/>
                <w:color w:val="1F1B2E"/>
                <w:sz w:val="20"/>
                <w:szCs w:val="20"/>
              </w:rPr>
              <w:t xml:space="preserve">Overheads (studio, admin, software)</w:t>
            </w:r>
          </w:p>
        </w:tc>
        <w:tc>
          <w:tcPr>
            <w:tcW w:type="dxa" w:w="4675"/>
            <w:shd w:fill="F5F2FB"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15%</w:t>
            </w:r>
          </w:p>
        </w:tc>
      </w:tr>
      <w:tr>
        <w:tc>
          <w:tcPr>
            <w:tcW w:type="dxa" w:w="4675"/>
            <w:shd w:fill="FFFFFF" w:val="clear"/>
            <w:tcMar>
              <w:top w:type="dxa" w:w="90"/>
              <w:left w:type="dxa" w:w="120"/>
              <w:bottom w:type="dxa" w:w="90"/>
              <w:right w:type="dxa" w:w="120"/>
            </w:tcMar>
            <w:vAlign w:val="center"/>
          </w:tcPr>
          <w:p>
            <w:r>
              <w:rPr>
                <w:rFonts w:ascii="Calibri" w:cs="Calibri" w:eastAsia="Calibri" w:hAnsi="Calibri"/>
                <w:b/>
                <w:bCs/>
                <w:color w:val="1F1B2E"/>
                <w:sz w:val="20"/>
                <w:szCs w:val="20"/>
              </w:rPr>
              <w:t xml:space="preserve">Marketing &amp; business development</w:t>
            </w:r>
          </w:p>
        </w:tc>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10%</w:t>
            </w:r>
          </w:p>
        </w:tc>
      </w:tr>
      <w:tr>
        <w:tc>
          <w:tcPr>
            <w:tcW w:type="dxa" w:w="4675"/>
            <w:shd w:fill="F5F2FB" w:val="clear"/>
            <w:tcMar>
              <w:top w:type="dxa" w:w="90"/>
              <w:left w:type="dxa" w:w="120"/>
              <w:bottom w:type="dxa" w:w="90"/>
              <w:right w:type="dxa" w:w="120"/>
            </w:tcMar>
            <w:vAlign w:val="center"/>
          </w:tcPr>
          <w:p>
            <w:r>
              <w:rPr>
                <w:rFonts w:ascii="Calibri" w:cs="Calibri" w:eastAsia="Calibri" w:hAnsi="Calibri"/>
                <w:b/>
                <w:bCs/>
                <w:color w:val="1F1B2E"/>
                <w:sz w:val="20"/>
                <w:szCs w:val="20"/>
              </w:rPr>
              <w:t xml:space="preserve">Net margin (target, pre-tax)</w:t>
            </w:r>
          </w:p>
        </w:tc>
        <w:tc>
          <w:tcPr>
            <w:tcW w:type="dxa" w:w="4675"/>
            <w:shd w:fill="F5F2FB" w:val="clear"/>
            <w:tcMar>
              <w:top w:type="dxa" w:w="90"/>
              <w:left w:type="dxa" w:w="120"/>
              <w:bottom w:type="dxa" w:w="90"/>
              <w:right w:type="dxa" w:w="120"/>
            </w:tcMar>
            <w:vAlign w:val="center"/>
          </w:tcPr>
          <w:p>
            <w:r>
              <w:rPr>
                <w:rFonts w:ascii="Calibri" w:cs="Calibri" w:eastAsia="Calibri" w:hAnsi="Calibri"/>
                <w:b w:val="false"/>
                <w:bCs w:val="false"/>
                <w:color w:val="1F1B2E"/>
                <w:sz w:val="20"/>
                <w:szCs w:val="20"/>
              </w:rPr>
              <w:t xml:space="preserve">15%</w:t>
            </w:r>
          </w:p>
        </w:tc>
      </w:tr>
    </w:tbl>
    <w:p>
      <w:pPr>
        <w:spacing w:after="160"/>
      </w:pPr>
    </w:p>
    <w:p>
      <w:pPr>
        <w:pStyle w:val="Heading2"/>
        <w:spacing w:after="120" w:before="260"/>
      </w:pPr>
      <w:r>
        <w:rPr>
          <w:rFonts w:ascii="Cambria" w:cs="Cambria" w:eastAsia="Cambria" w:hAnsi="Cambria"/>
          <w:b/>
          <w:bCs/>
          <w:color w:val="7C3AED"/>
          <w:sz w:val="25"/>
          <w:szCs w:val="25"/>
        </w:rPr>
        <w:t xml:space="preserve">9.2 Funding Considerations</w:t>
      </w:r>
    </w:p>
    <w:p>
      <w:pPr>
        <w:spacing w:after="160" w:line="300"/>
      </w:pPr>
      <w:r>
        <w:rPr>
          <w:rFonts w:ascii="Calibri" w:cs="Calibri" w:eastAsia="Calibri" w:hAnsi="Calibri"/>
          <w:i w:val="false"/>
          <w:iCs w:val="false"/>
          <w:color w:val="1F1B2E"/>
          <w:sz w:val="22"/>
          <w:szCs w:val="22"/>
        </w:rPr>
        <w:t xml:space="preserve">At idea stage, initial capital needs are likely to cover: a small founding team for 6–12 months, AI tooling subscriptions and compute costs, production costs for one proof-of-concept short, and a marketing/festival budget. Bootstrapping the first proof-of-concept before seeking external capital is strongly advisable — a delivered short film is a far stronger fundraising and sales asset than a business plan alone.</w:t>
      </w:r>
    </w:p>
    <w:p>
      <w:pPr>
        <w:pStyle w:val="Heading2"/>
        <w:spacing w:after="120" w:before="260"/>
      </w:pPr>
      <w:r>
        <w:rPr>
          <w:rFonts w:ascii="Cambria" w:cs="Cambria" w:eastAsia="Cambria" w:hAnsi="Cambria"/>
          <w:b/>
          <w:bCs/>
          <w:color w:val="7C3AED"/>
          <w:sz w:val="25"/>
          <w:szCs w:val="25"/>
        </w:rPr>
        <w:t xml:space="preserve">9.3 Milestones to De-Risk Further Investment</w:t>
      </w:r>
    </w:p>
    <w:p>
      <w:pPr>
        <w:pStyle w:val="ListParagraph"/>
        <w:numPr>
          <w:ilvl w:val="0"/>
          <w:numId w:val="2"/>
        </w:numPr>
        <w:spacing w:after="90" w:line="280"/>
      </w:pPr>
      <w:r>
        <w:rPr>
          <w:rFonts w:ascii="Calibri" w:cs="Calibri" w:eastAsia="Calibri" w:hAnsi="Calibri"/>
          <w:color w:val="1F1B2E"/>
          <w:sz w:val="22"/>
          <w:szCs w:val="22"/>
        </w:rPr>
        <w:t xml:space="preserve">Milestone 1: Deliver one proof-of-concept short within budget and on a compressed AI-augmented timeline</w:t>
      </w:r>
    </w:p>
    <w:p>
      <w:pPr>
        <w:pStyle w:val="ListParagraph"/>
        <w:numPr>
          <w:ilvl w:val="0"/>
          <w:numId w:val="2"/>
        </w:numPr>
        <w:spacing w:after="90" w:line="280"/>
      </w:pPr>
      <w:r>
        <w:rPr>
          <w:rFonts w:ascii="Calibri" w:cs="Calibri" w:eastAsia="Calibri" w:hAnsi="Calibri"/>
          <w:color w:val="1F1B2E"/>
          <w:sz w:val="22"/>
          <w:szCs w:val="22"/>
        </w:rPr>
        <w:t xml:space="preserve">Milestone 2: Close one paid service commission from a production house</w:t>
      </w:r>
    </w:p>
    <w:p>
      <w:pPr>
        <w:pStyle w:val="ListParagraph"/>
        <w:numPr>
          <w:ilvl w:val="0"/>
          <w:numId w:val="2"/>
        </w:numPr>
        <w:spacing w:after="90" w:line="280"/>
      </w:pPr>
      <w:r>
        <w:rPr>
          <w:rFonts w:ascii="Calibri" w:cs="Calibri" w:eastAsia="Calibri" w:hAnsi="Calibri"/>
          <w:color w:val="1F1B2E"/>
          <w:sz w:val="22"/>
          <w:szCs w:val="22"/>
        </w:rPr>
        <w:t xml:space="preserve">Milestone 3: Demonstrate positive unit economics on at least one delivered project</w:t>
      </w:r>
    </w:p>
    <w:p>
      <w:pPr>
        <w:pStyle w:val="ListParagraph"/>
        <w:numPr>
          <w:ilvl w:val="0"/>
          <w:numId w:val="2"/>
        </w:numPr>
        <w:spacing w:after="90" w:line="280"/>
      </w:pPr>
      <w:r>
        <w:rPr>
          <w:rFonts w:ascii="Calibri" w:cs="Calibri" w:eastAsia="Calibri" w:hAnsi="Calibri"/>
          <w:color w:val="1F1B2E"/>
          <w:sz w:val="22"/>
          <w:szCs w:val="22"/>
        </w:rPr>
        <w:t xml:space="preserve">Milestone 4: Secure interest (verbal or written) from an OTT platform for an owned original concept</w:t>
      </w:r>
    </w:p>
    <w:p>
      <w:r>
        <w:br w:type="page"/>
      </w:r>
    </w:p>
    <w:p>
      <w:pPr>
        <w:pStyle w:val="Heading1"/>
        <w:spacing w:after="160" w:before="360"/>
      </w:pPr>
      <w:r>
        <w:rPr>
          <w:rFonts w:ascii="Cambria" w:cs="Cambria" w:eastAsia="Cambria" w:hAnsi="Cambria"/>
          <w:b/>
          <w:bCs/>
          <w:color w:val="241242"/>
          <w:sz w:val="32"/>
          <w:szCs w:val="32"/>
        </w:rPr>
        <w:t xml:space="preserve">10. Risk Analysis</w:t>
      </w:r>
    </w:p>
    <w:p>
      <w:pPr>
        <w:pStyle w:val="Heading2"/>
        <w:spacing w:after="120" w:before="260"/>
      </w:pPr>
      <w:r>
        <w:rPr>
          <w:rFonts w:ascii="Cambria" w:cs="Cambria" w:eastAsia="Cambria" w:hAnsi="Cambria"/>
          <w:b/>
          <w:bCs/>
          <w:color w:val="7C3AED"/>
          <w:sz w:val="25"/>
          <w:szCs w:val="25"/>
        </w:rPr>
        <w:t xml:space="preserve">10.1 Benefits of Starting Now</w:t>
      </w:r>
    </w:p>
    <w:p>
      <w:pPr>
        <w:pStyle w:val="ListParagraph"/>
        <w:numPr>
          <w:ilvl w:val="0"/>
          <w:numId w:val="2"/>
        </w:numPr>
        <w:spacing w:after="90" w:line="280"/>
      </w:pPr>
      <w:r>
        <w:rPr>
          <w:rFonts w:ascii="Calibri" w:cs="Calibri" w:eastAsia="Calibri" w:hAnsi="Calibri"/>
          <w:color w:val="1F1B2E"/>
          <w:sz w:val="22"/>
          <w:szCs w:val="22"/>
        </w:rPr>
        <w:t xml:space="preserve">AI tooling lowers the capital needed to produce broadcast-credible animation</w:t>
      </w:r>
    </w:p>
    <w:p>
      <w:pPr>
        <w:pStyle w:val="ListParagraph"/>
        <w:numPr>
          <w:ilvl w:val="0"/>
          <w:numId w:val="2"/>
        </w:numPr>
        <w:spacing w:after="90" w:line="280"/>
      </w:pPr>
      <w:r>
        <w:rPr>
          <w:rFonts w:ascii="Calibri" w:cs="Calibri" w:eastAsia="Calibri" w:hAnsi="Calibri"/>
          <w:color w:val="1F1B2E"/>
          <w:sz w:val="22"/>
          <w:szCs w:val="22"/>
        </w:rPr>
        <w:t xml:space="preserve">OTT platforms are actively funding original Indian IP right now, not just outsourcing</w:t>
      </w:r>
    </w:p>
    <w:p>
      <w:pPr>
        <w:pStyle w:val="ListParagraph"/>
        <w:numPr>
          <w:ilvl w:val="0"/>
          <w:numId w:val="2"/>
        </w:numPr>
        <w:spacing w:after="90" w:line="280"/>
      </w:pPr>
      <w:r>
        <w:rPr>
          <w:rFonts w:ascii="Calibri" w:cs="Calibri" w:eastAsia="Calibri" w:hAnsi="Calibri"/>
          <w:color w:val="1F1B2E"/>
          <w:sz w:val="22"/>
          <w:szCs w:val="22"/>
        </w:rPr>
        <w:t xml:space="preserve">Government AVGC incentives can offset early training and production costs</w:t>
      </w:r>
    </w:p>
    <w:p>
      <w:pPr>
        <w:pStyle w:val="ListParagraph"/>
        <w:numPr>
          <w:ilvl w:val="0"/>
          <w:numId w:val="2"/>
        </w:numPr>
        <w:spacing w:after="90" w:line="280"/>
      </w:pPr>
      <w:r>
        <w:rPr>
          <w:rFonts w:ascii="Calibri" w:cs="Calibri" w:eastAsia="Calibri" w:hAnsi="Calibri"/>
          <w:color w:val="1F1B2E"/>
          <w:sz w:val="22"/>
          <w:szCs w:val="22"/>
        </w:rPr>
        <w:t xml:space="preserve">Mythology and regional stories are a structural advantage no other market can copy</w:t>
      </w:r>
    </w:p>
    <w:p>
      <w:pPr>
        <w:pStyle w:val="ListParagraph"/>
        <w:numPr>
          <w:ilvl w:val="0"/>
          <w:numId w:val="2"/>
        </w:numPr>
        <w:spacing w:after="90" w:line="280"/>
      </w:pPr>
      <w:r>
        <w:rPr>
          <w:rFonts w:ascii="Calibri" w:cs="Calibri" w:eastAsia="Calibri" w:hAnsi="Calibri"/>
          <w:color w:val="1F1B2E"/>
          <w:sz w:val="22"/>
          <w:szCs w:val="22"/>
        </w:rPr>
        <w:t xml:space="preserve">Small, AI-augmented teams can iterate and pitch faster than legacy studios</w:t>
      </w:r>
    </w:p>
    <w:p>
      <w:pPr>
        <w:spacing w:after="160"/>
      </w:pPr>
    </w:p>
    <w:p>
      <w:pPr>
        <w:pStyle w:val="Heading2"/>
        <w:spacing w:after="120" w:before="260"/>
      </w:pPr>
      <w:r>
        <w:rPr>
          <w:rFonts w:ascii="Cambria" w:cs="Cambria" w:eastAsia="Cambria" w:hAnsi="Cambria"/>
          <w:b/>
          <w:bCs/>
          <w:color w:val="7C3AED"/>
          <w:sz w:val="25"/>
          <w:szCs w:val="25"/>
        </w:rPr>
        <w:t xml:space="preserve">10.2 Risks to Plan For</w:t>
      </w:r>
    </w:p>
    <w:p>
      <w:pPr>
        <w:pStyle w:val="ListParagraph"/>
        <w:numPr>
          <w:ilvl w:val="0"/>
          <w:numId w:val="2"/>
        </w:numPr>
        <w:spacing w:after="90" w:line="280"/>
      </w:pPr>
      <w:r>
        <w:rPr>
          <w:rFonts w:ascii="Calibri" w:cs="Calibri" w:eastAsia="Calibri" w:hAnsi="Calibri"/>
          <w:color w:val="1F1B2E"/>
          <w:sz w:val="22"/>
          <w:szCs w:val="22"/>
        </w:rPr>
        <w:t xml:space="preserve">No platform trust or track record yet — first deals will be the hardest to close</w:t>
      </w:r>
    </w:p>
    <w:p>
      <w:pPr>
        <w:pStyle w:val="ListParagraph"/>
        <w:numPr>
          <w:ilvl w:val="0"/>
          <w:numId w:val="2"/>
        </w:numPr>
        <w:spacing w:after="90" w:line="280"/>
      </w:pPr>
      <w:r>
        <w:rPr>
          <w:rFonts w:ascii="Calibri" w:cs="Calibri" w:eastAsia="Calibri" w:hAnsi="Calibri"/>
          <w:color w:val="1F1B2E"/>
          <w:sz w:val="22"/>
          <w:szCs w:val="22"/>
        </w:rPr>
        <w:t xml:space="preserve">AI-generated visuals can still look inconsistent without strong human art direction</w:t>
      </w:r>
    </w:p>
    <w:p>
      <w:pPr>
        <w:pStyle w:val="ListParagraph"/>
        <w:numPr>
          <w:ilvl w:val="0"/>
          <w:numId w:val="2"/>
        </w:numPr>
        <w:spacing w:after="90" w:line="280"/>
      </w:pPr>
      <w:r>
        <w:rPr>
          <w:rFonts w:ascii="Calibri" w:cs="Calibri" w:eastAsia="Calibri" w:hAnsi="Calibri"/>
          <w:color w:val="1F1B2E"/>
          <w:sz w:val="22"/>
          <w:szCs w:val="22"/>
        </w:rPr>
        <w:t xml:space="preserve">IP and rights questions around AI-generated assets are still legally evolving in India and globally</w:t>
      </w:r>
    </w:p>
    <w:p>
      <w:pPr>
        <w:pStyle w:val="ListParagraph"/>
        <w:numPr>
          <w:ilvl w:val="0"/>
          <w:numId w:val="2"/>
        </w:numPr>
        <w:spacing w:after="90" w:line="280"/>
      </w:pPr>
      <w:r>
        <w:rPr>
          <w:rFonts w:ascii="Calibri" w:cs="Calibri" w:eastAsia="Calibri" w:hAnsi="Calibri"/>
          <w:color w:val="1F1B2E"/>
          <w:sz w:val="22"/>
          <w:szCs w:val="22"/>
        </w:rPr>
        <w:t xml:space="preserve">Established studios can also adopt AI, narrowing the cost advantage over time</w:t>
      </w:r>
    </w:p>
    <w:p>
      <w:pPr>
        <w:pStyle w:val="ListParagraph"/>
        <w:numPr>
          <w:ilvl w:val="0"/>
          <w:numId w:val="2"/>
        </w:numPr>
        <w:spacing w:after="90" w:line="280"/>
      </w:pPr>
      <w:r>
        <w:rPr>
          <w:rFonts w:ascii="Calibri" w:cs="Calibri" w:eastAsia="Calibri" w:hAnsi="Calibri"/>
          <w:color w:val="1F1B2E"/>
          <w:sz w:val="22"/>
          <w:szCs w:val="22"/>
        </w:rPr>
        <w:t xml:space="preserve">Owned-IP bets carry real financial risk with no guaranteed buyer</w:t>
      </w:r>
    </w:p>
    <w:p>
      <w:pPr>
        <w:spacing w:after="160"/>
      </w:pPr>
    </w:p>
    <w:tbl>
      <w:tblPr>
        <w:tblW w:type="pct" w:w="100%"/>
        <w:tblBorders>
          <w:top w:val="none"/>
          <w:left w:val="none"/>
          <w:bottom w:val="none"/>
          <w:right w:val="none"/>
          <w:insideH w:val="none"/>
          <w:insideV w:val="none"/>
        </w:tblBorders>
      </w:tblPr>
      <w:tblGrid>
        <w:gridCol w:w="100"/>
      </w:tblGrid>
      <w:tr>
        <w:tc>
          <w:tcPr>
            <w:shd w:fill="EAF5EA" w:val="clear"/>
            <w:tcMar>
              <w:top w:type="dxa" w:w="160"/>
              <w:left w:type="dxa" w:w="200"/>
              <w:bottom w:type="dxa" w:w="160"/>
              <w:right w:type="dxa" w:w="200"/>
            </w:tcMar>
          </w:tcPr>
          <w:p>
            <w:pPr>
              <w:spacing w:after="60"/>
            </w:pPr>
            <w:r>
              <w:rPr>
                <w:rFonts w:ascii="Calibri" w:cs="Calibri" w:eastAsia="Calibri" w:hAnsi="Calibri"/>
                <w:b/>
                <w:bCs/>
                <w:color w:val="1F1B2E"/>
                <w:sz w:val="22"/>
                <w:szCs w:val="22"/>
              </w:rPr>
              <w:t xml:space="preserve">Mitigation approach</w:t>
            </w:r>
          </w:p>
          <w:p>
            <w:pPr>
              <w:spacing w:after="0"/>
            </w:pPr>
            <w:r>
              <w:rPr>
                <w:rFonts w:ascii="Calibri" w:cs="Calibri" w:eastAsia="Calibri" w:hAnsi="Calibri"/>
                <w:color w:val="1F1B2E"/>
                <w:sz w:val="21"/>
                <w:szCs w:val="21"/>
              </w:rPr>
              <w:t xml:space="preserve">Treat every stage as a gate: do not move from service work to owned-IP investment, or from one short film to a slate of productions, until the previous stage has proven both creative quality and unit economics.</w:t>
            </w:r>
          </w:p>
        </w:tc>
      </w:tr>
    </w:tbl>
    <w:p>
      <w:r>
        <w:br w:type="page"/>
      </w:r>
    </w:p>
    <w:p>
      <w:pPr>
        <w:pStyle w:val="Heading1"/>
        <w:spacing w:after="160" w:before="360"/>
      </w:pPr>
      <w:r>
        <w:rPr>
          <w:rFonts w:ascii="Cambria" w:cs="Cambria" w:eastAsia="Cambria" w:hAnsi="Cambria"/>
          <w:b/>
          <w:bCs/>
          <w:color w:val="241242"/>
          <w:sz w:val="32"/>
          <w:szCs w:val="32"/>
        </w:rPr>
        <w:t xml:space="preserve">11. Roadmap &amp; Milestones</w:t>
      </w:r>
    </w:p>
    <w:p>
      <w:pPr>
        <w:pStyle w:val="Heading2"/>
        <w:spacing w:after="120" w:before="260"/>
      </w:pPr>
      <w:r>
        <w:rPr>
          <w:rFonts w:ascii="Cambria" w:cs="Cambria" w:eastAsia="Cambria" w:hAnsi="Cambria"/>
          <w:b/>
          <w:bCs/>
          <w:color w:val="7C3AED"/>
          <w:sz w:val="25"/>
          <w:szCs w:val="25"/>
        </w:rPr>
        <w:t xml:space="preserve">11.1 Months 0–6 — Prove</w:t>
      </w:r>
    </w:p>
    <w:p>
      <w:pPr>
        <w:pStyle w:val="ListParagraph"/>
        <w:numPr>
          <w:ilvl w:val="0"/>
          <w:numId w:val="2"/>
        </w:numPr>
        <w:spacing w:after="90" w:line="280"/>
      </w:pPr>
      <w:r>
        <w:rPr>
          <w:rFonts w:ascii="Calibri" w:cs="Calibri" w:eastAsia="Calibri" w:hAnsi="Calibri"/>
          <w:color w:val="1F1B2E"/>
          <w:sz w:val="22"/>
          <w:szCs w:val="22"/>
        </w:rPr>
        <w:t xml:space="preserve">Build core AI pipeline and assemble a small founding team</w:t>
      </w:r>
    </w:p>
    <w:p>
      <w:pPr>
        <w:pStyle w:val="ListParagraph"/>
        <w:numPr>
          <w:ilvl w:val="0"/>
          <w:numId w:val="2"/>
        </w:numPr>
        <w:spacing w:after="90" w:line="280"/>
      </w:pPr>
      <w:r>
        <w:rPr>
          <w:rFonts w:ascii="Calibri" w:cs="Calibri" w:eastAsia="Calibri" w:hAnsi="Calibri"/>
          <w:color w:val="1F1B2E"/>
          <w:sz w:val="22"/>
          <w:szCs w:val="22"/>
        </w:rPr>
        <w:t xml:space="preserve">Produce one proof-of-concept short film</w:t>
      </w:r>
    </w:p>
    <w:p>
      <w:pPr>
        <w:pStyle w:val="ListParagraph"/>
        <w:numPr>
          <w:ilvl w:val="0"/>
          <w:numId w:val="2"/>
        </w:numPr>
        <w:spacing w:after="90" w:line="280"/>
      </w:pPr>
      <w:r>
        <w:rPr>
          <w:rFonts w:ascii="Calibri" w:cs="Calibri" w:eastAsia="Calibri" w:hAnsi="Calibri"/>
          <w:color w:val="1F1B2E"/>
          <w:sz w:val="22"/>
          <w:szCs w:val="22"/>
        </w:rPr>
        <w:t xml:space="preserve">Apply for AVGC government support programs</w:t>
      </w:r>
    </w:p>
    <w:p>
      <w:pPr>
        <w:pStyle w:val="Heading2"/>
        <w:spacing w:after="120" w:before="260"/>
      </w:pPr>
      <w:r>
        <w:rPr>
          <w:rFonts w:ascii="Cambria" w:cs="Cambria" w:eastAsia="Cambria" w:hAnsi="Cambria"/>
          <w:b/>
          <w:bCs/>
          <w:color w:val="7C3AED"/>
          <w:sz w:val="25"/>
          <w:szCs w:val="25"/>
        </w:rPr>
        <w:t xml:space="preserve">11.2 Months 6–12 — Pitch</w:t>
      </w:r>
    </w:p>
    <w:p>
      <w:pPr>
        <w:pStyle w:val="ListParagraph"/>
        <w:numPr>
          <w:ilvl w:val="0"/>
          <w:numId w:val="2"/>
        </w:numPr>
        <w:spacing w:after="90" w:line="280"/>
      </w:pPr>
      <w:r>
        <w:rPr>
          <w:rFonts w:ascii="Calibri" w:cs="Calibri" w:eastAsia="Calibri" w:hAnsi="Calibri"/>
          <w:color w:val="1F1B2E"/>
          <w:sz w:val="22"/>
          <w:szCs w:val="22"/>
        </w:rPr>
        <w:t xml:space="preserve">Pitch to production houses and OTT commissioning teams</w:t>
      </w:r>
    </w:p>
    <w:p>
      <w:pPr>
        <w:pStyle w:val="ListParagraph"/>
        <w:numPr>
          <w:ilvl w:val="0"/>
          <w:numId w:val="2"/>
        </w:numPr>
        <w:spacing w:after="90" w:line="280"/>
      </w:pPr>
      <w:r>
        <w:rPr>
          <w:rFonts w:ascii="Calibri" w:cs="Calibri" w:eastAsia="Calibri" w:hAnsi="Calibri"/>
          <w:color w:val="1F1B2E"/>
          <w:sz w:val="22"/>
          <w:szCs w:val="22"/>
        </w:rPr>
        <w:t xml:space="preserve">Land the first paid service commission</w:t>
      </w:r>
    </w:p>
    <w:p>
      <w:pPr>
        <w:pStyle w:val="ListParagraph"/>
        <w:numPr>
          <w:ilvl w:val="0"/>
          <w:numId w:val="2"/>
        </w:numPr>
        <w:spacing w:after="90" w:line="280"/>
      </w:pPr>
      <w:r>
        <w:rPr>
          <w:rFonts w:ascii="Calibri" w:cs="Calibri" w:eastAsia="Calibri" w:hAnsi="Calibri"/>
          <w:color w:val="1F1B2E"/>
          <w:sz w:val="22"/>
          <w:szCs w:val="22"/>
        </w:rPr>
        <w:t xml:space="preserve">Enter festivals and OTT content markets for visibility</w:t>
      </w:r>
    </w:p>
    <w:p>
      <w:pPr>
        <w:pStyle w:val="Heading2"/>
        <w:spacing w:after="120" w:before="260"/>
      </w:pPr>
      <w:r>
        <w:rPr>
          <w:rFonts w:ascii="Cambria" w:cs="Cambria" w:eastAsia="Cambria" w:hAnsi="Cambria"/>
          <w:b/>
          <w:bCs/>
          <w:color w:val="7C3AED"/>
          <w:sz w:val="25"/>
          <w:szCs w:val="25"/>
        </w:rPr>
        <w:t xml:space="preserve">11.3 Months 12–24 — Build IP</w:t>
      </w:r>
    </w:p>
    <w:p>
      <w:pPr>
        <w:pStyle w:val="ListParagraph"/>
        <w:numPr>
          <w:ilvl w:val="0"/>
          <w:numId w:val="2"/>
        </w:numPr>
        <w:spacing w:after="90" w:line="280"/>
      </w:pPr>
      <w:r>
        <w:rPr>
          <w:rFonts w:ascii="Calibri" w:cs="Calibri" w:eastAsia="Calibri" w:hAnsi="Calibri"/>
          <w:color w:val="1F1B2E"/>
          <w:sz w:val="22"/>
          <w:szCs w:val="22"/>
        </w:rPr>
        <w:t xml:space="preserve">Deliver 2–3 client productions to build track record and cash flow</w:t>
      </w:r>
    </w:p>
    <w:p>
      <w:pPr>
        <w:pStyle w:val="ListParagraph"/>
        <w:numPr>
          <w:ilvl w:val="0"/>
          <w:numId w:val="2"/>
        </w:numPr>
        <w:spacing w:after="90" w:line="280"/>
      </w:pPr>
      <w:r>
        <w:rPr>
          <w:rFonts w:ascii="Calibri" w:cs="Calibri" w:eastAsia="Calibri" w:hAnsi="Calibri"/>
          <w:color w:val="1F1B2E"/>
          <w:sz w:val="22"/>
          <w:szCs w:val="22"/>
        </w:rPr>
        <w:t xml:space="preserve">Develop the first owned original series concept</w:t>
      </w:r>
    </w:p>
    <w:p>
      <w:pPr>
        <w:pStyle w:val="ListParagraph"/>
        <w:numPr>
          <w:ilvl w:val="0"/>
          <w:numId w:val="2"/>
        </w:numPr>
        <w:spacing w:after="90" w:line="280"/>
      </w:pPr>
      <w:r>
        <w:rPr>
          <w:rFonts w:ascii="Calibri" w:cs="Calibri" w:eastAsia="Calibri" w:hAnsi="Calibri"/>
          <w:color w:val="1F1B2E"/>
          <w:sz w:val="22"/>
          <w:szCs w:val="22"/>
        </w:rPr>
        <w:t xml:space="preserve">Pitch owned IP to OTT platforms for licensing or co-production</w:t>
      </w:r>
    </w:p>
    <w:p>
      <w:pPr>
        <w:pStyle w:val="Heading2"/>
        <w:spacing w:after="120" w:before="260"/>
      </w:pPr>
      <w:r>
        <w:rPr>
          <w:rFonts w:ascii="Cambria" w:cs="Cambria" w:eastAsia="Cambria" w:hAnsi="Cambria"/>
          <w:b/>
          <w:bCs/>
          <w:color w:val="7C3AED"/>
          <w:sz w:val="25"/>
          <w:szCs w:val="25"/>
        </w:rPr>
        <w:t xml:space="preserve">11.4 By 2030 — Vision</w:t>
      </w:r>
    </w:p>
    <w:p>
      <w:pPr>
        <w:pStyle w:val="ListParagraph"/>
        <w:numPr>
          <w:ilvl w:val="0"/>
          <w:numId w:val="2"/>
        </w:numPr>
        <w:spacing w:after="90" w:line="280"/>
      </w:pPr>
      <w:r>
        <w:rPr>
          <w:rFonts w:ascii="Calibri" w:cs="Calibri" w:eastAsia="Calibri" w:hAnsi="Calibri"/>
          <w:color w:val="1F1B2E"/>
          <w:sz w:val="22"/>
          <w:szCs w:val="22"/>
        </w:rPr>
        <w:t xml:space="preserve">3+ owned original series or franchises, with at least one on a major OTT platform</w:t>
      </w:r>
    </w:p>
    <w:p>
      <w:pPr>
        <w:pStyle w:val="ListParagraph"/>
        <w:numPr>
          <w:ilvl w:val="0"/>
          <w:numId w:val="2"/>
        </w:numPr>
        <w:spacing w:after="90" w:line="280"/>
      </w:pPr>
      <w:r>
        <w:rPr>
          <w:rFonts w:ascii="Calibri" w:cs="Calibri" w:eastAsia="Calibri" w:hAnsi="Calibri"/>
          <w:color w:val="1F1B2E"/>
          <w:sz w:val="22"/>
          <w:szCs w:val="22"/>
        </w:rPr>
        <w:t xml:space="preserve">Global distribution into Southeast Asia, the Middle East and Western streaming catalogs</w:t>
      </w:r>
    </w:p>
    <w:p>
      <w:pPr>
        <w:pStyle w:val="ListParagraph"/>
        <w:numPr>
          <w:ilvl w:val="0"/>
          <w:numId w:val="2"/>
        </w:numPr>
        <w:spacing w:after="90" w:line="280"/>
      </w:pPr>
      <w:r>
        <w:rPr>
          <w:rFonts w:ascii="Calibri" w:cs="Calibri" w:eastAsia="Calibri" w:hAnsi="Calibri"/>
          <w:color w:val="1F1B2E"/>
          <w:sz w:val="22"/>
          <w:szCs w:val="22"/>
        </w:rPr>
        <w:t xml:space="preserve">A 50+ person AI-augmented studio</w:t>
      </w:r>
    </w:p>
    <w:p>
      <w:pPr>
        <w:pStyle w:val="ListParagraph"/>
        <w:numPr>
          <w:ilvl w:val="0"/>
          <w:numId w:val="2"/>
        </w:numPr>
        <w:spacing w:after="90" w:line="280"/>
      </w:pPr>
      <w:r>
        <w:rPr>
          <w:rFonts w:ascii="Calibri" w:cs="Calibri" w:eastAsia="Calibri" w:hAnsi="Calibri"/>
          <w:color w:val="1F1B2E"/>
          <w:sz w:val="22"/>
          <w:szCs w:val="22"/>
        </w:rPr>
        <w:t xml:space="preserve">Diversified revenue across services, owned-IP licensing, and merchandise/gaming spin-offs</w:t>
      </w:r>
    </w:p>
    <w:p>
      <w:pPr>
        <w:spacing w:after="160"/>
      </w:pPr>
    </w:p>
    <w:tbl>
      <w:tblPr>
        <w:tblW w:type="pct" w:w="100%"/>
        <w:tblBorders>
          <w:top w:val="none"/>
          <w:left w:val="none"/>
          <w:bottom w:val="none"/>
          <w:right w:val="none"/>
          <w:insideH w:val="none"/>
          <w:insideV w:val="none"/>
        </w:tblBorders>
      </w:tblPr>
      <w:tblGrid>
        <w:gridCol w:w="100"/>
      </w:tblGrid>
      <w:tr>
        <w:tc>
          <w:tcPr>
            <w:shd w:fill="E6FBF8" w:val="clear"/>
            <w:tcMar>
              <w:top w:type="dxa" w:w="160"/>
              <w:left w:type="dxa" w:w="200"/>
              <w:bottom w:type="dxa" w:w="160"/>
              <w:right w:type="dxa" w:w="200"/>
            </w:tcMar>
          </w:tcPr>
          <w:p>
            <w:pPr>
              <w:spacing w:after="60"/>
            </w:pPr>
            <w:r>
              <w:rPr>
                <w:rFonts w:ascii="Calibri" w:cs="Calibri" w:eastAsia="Calibri" w:hAnsi="Calibri"/>
                <w:b/>
                <w:bCs/>
                <w:color w:val="1F1B2E"/>
                <w:sz w:val="22"/>
                <w:szCs w:val="22"/>
              </w:rPr>
              <w:t xml:space="preserve">Golden rule</w:t>
            </w:r>
          </w:p>
          <w:p>
            <w:pPr>
              <w:spacing w:after="0"/>
            </w:pPr>
            <w:r>
              <w:rPr>
                <w:rFonts w:ascii="Calibri" w:cs="Calibri" w:eastAsia="Calibri" w:hAnsi="Calibri"/>
                <w:color w:val="1F1B2E"/>
                <w:sz w:val="21"/>
                <w:szCs w:val="21"/>
              </w:rPr>
              <w:t xml:space="preserve">Prove the pipeline on one great short before pitching a slate. One credible, well-made piece of work opens more doors than any deck.</w:t>
            </w:r>
          </w:p>
        </w:tc>
      </w:tr>
    </w:tbl>
    <w:p>
      <w:r>
        <w:br w:type="page"/>
      </w:r>
    </w:p>
    <w:p>
      <w:pPr>
        <w:pStyle w:val="Heading1"/>
        <w:spacing w:after="160" w:before="360"/>
      </w:pPr>
      <w:r>
        <w:rPr>
          <w:rFonts w:ascii="Cambria" w:cs="Cambria" w:eastAsia="Cambria" w:hAnsi="Cambria"/>
          <w:b/>
          <w:bCs/>
          <w:color w:val="241242"/>
          <w:sz w:val="32"/>
          <w:szCs w:val="32"/>
        </w:rPr>
        <w:t xml:space="preserve">12. Conclusion</w:t>
      </w:r>
    </w:p>
    <w:p>
      <w:pPr>
        <w:spacing w:after="160" w:line="300"/>
      </w:pPr>
      <w:r>
        <w:rPr>
          <w:rFonts w:ascii="Calibri" w:cs="Calibri" w:eastAsia="Calibri" w:hAnsi="Calibri"/>
          <w:i w:val="false"/>
          <w:iCs w:val="false"/>
          <w:color w:val="1F1B2E"/>
          <w:sz w:val="22"/>
          <w:szCs w:val="22"/>
        </w:rPr>
        <w:t xml:space="preserve">India's animation market, and the generative-AI-in-animation segment within it, are both growing faster than the industry average — creating a genuine window for a lean, AI-native studio to enter. But the opportunity is not exclusive: the real differentiator will not be “using AI” in itself, since every serious competitor is adopting it too. It will be the combination of a clear creative niche (India-rooted, mythology-based storytelling), disciplined execution on early service work, and the patience to build owned IP only once the model is proven.</w:t>
      </w:r>
    </w:p>
    <w:p>
      <w:pPr>
        <w:spacing w:after="160" w:line="300"/>
      </w:pPr>
      <w:r>
        <w:rPr>
          <w:rFonts w:ascii="Calibri" w:cs="Calibri" w:eastAsia="Calibri" w:hAnsi="Calibri"/>
          <w:i w:val="false"/>
          <w:iCs w:val="false"/>
          <w:color w:val="1F1B2E"/>
          <w:sz w:val="22"/>
          <w:szCs w:val="22"/>
        </w:rPr>
        <w:t xml:space="preserve">The recommended path is deliberately conservative for an idea-stage venture: build one excellent proof-of-concept, use it to win the first paid commission, prove the unit economics, and only then invest in owned original series. Vision 2030 — an IP-owning studio with global distribution — is the direction worth building toward, not a target to assume.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2026-07-06T11:01:37.448Z</dcterms:created>
  <dcterms:modified xsi:type="dcterms:W3CDTF">2026-07-06T11:01:37.448Z</dcterms:modified>
</cp:coreProperties>
</file>

<file path=docProps/custom.xml><?xml version="1.0" encoding="utf-8"?>
<Properties xmlns="http://schemas.openxmlformats.org/officeDocument/2006/custom-properties" xmlns:vt="http://schemas.openxmlformats.org/officeDocument/2006/docPropsVTypes"/>
</file>