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1A365D"/>
          <w:sz w:val="24"/>
        </w:rPr>
        <w:t>ĐẠI HỌC THÁI NGUYÊN</w:t>
        <w:br/>
        <w:t>TRƯỜNG ĐẠI HỌC CÔNG NGHỆ THÔNG TIN VÀ TRUYỀN THÔNG</w:t>
        <w:br/>
        <w:t>KHOA CÔNG NGHỆ THÔNG TIN</w:t>
      </w:r>
    </w:p>
    <w:p>
      <w:pPr>
        <w:spacing w:after="800"/>
        <w:jc w:val="center"/>
      </w:pPr>
      <w:r>
        <w:rPr>
          <w:color w:val="475569"/>
        </w:rPr>
        <w:t>━━━━━━━━━━━━━━━</w:t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1A365D"/>
          <w:sz w:val="36"/>
        </w:rPr>
        <w:t>BÁO CÁO TỔNG HỢP 3 BÀI KIỂM TRA THƯỜNG XUYÊN</w:t>
      </w:r>
    </w:p>
    <w:p>
      <w:pPr>
        <w:spacing w:after="600"/>
        <w:jc w:val="center"/>
      </w:pPr>
      <w:r>
        <w:rPr>
          <w:rFonts w:ascii="Times New Roman" w:hAnsi="Times New Roman"/>
          <w:i/>
          <w:color w:val="475569"/>
          <w:sz w:val="26"/>
        </w:rPr>
        <w:t>Phân tích Thiết kế (TX1) - Lập trình Nghiệp vụ (TX2) - Tích hợp AI &amp; Kiểm thử (TX3)</w:t>
      </w:r>
    </w:p>
    <w:p>
      <w:pPr>
        <w:spacing w:before="1000" w:after="800" w:line="336" w:lineRule="auto"/>
      </w:pPr>
      <w:r>
        <w:rPr>
          <w:rFonts w:ascii="Times New Roman" w:hAnsi="Times New Roman"/>
          <w:b/>
          <w:color w:val="1E293B"/>
          <w:sz w:val="24"/>
        </w:rPr>
        <w:t>HỌC PHẦN: ỨNG DỤNG TRÍ TUỆ NHÂN TẠO TRONG PHÁT TRIỂN PHẦN MỀM</w:t>
        <w:br/>
        <w:t>ĐỀ TÀI: EXPENSEAI - QUẢN LÝ CHI TIÊU CÁ NHÂN THÔNG MINH</w:t>
        <w:br/>
        <w:t>NHÓM THỰC HIỆN: NHÓM 02</w:t>
        <w:br/>
        <w:t xml:space="preserve">  1. NGUYỄN TUẤN ĐẠT - Trưởng nhóm (Kiến trúc &amp; AI)</w:t>
        <w:br/>
        <w:t xml:space="preserve">  2. PHÀN NGỌC ANH - Phó nhóm (Giao diện &amp; CSDL)</w:t>
        <w:br/>
        <w:t>GIẢNG VIÊN HƯỚNG DẪN: BỘ MÔN CÔNG NGHỆ PHẦN MỀM</w:t>
        <w:br/>
      </w:r>
    </w:p>
    <w:p>
      <w:pPr>
        <w:spacing w:before="800"/>
        <w:jc w:val="center"/>
      </w:pPr>
      <w:r>
        <w:rPr>
          <w:rFonts w:ascii="Times New Roman" w:hAnsi="Times New Roman"/>
          <w:b/>
          <w:color w:val="475569"/>
          <w:sz w:val="24"/>
        </w:rPr>
        <w:t>THÁI NGUYÊN, 2026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PHẦN I: BÀI KIỂM TRA THƯỜNG XUYÊN 1 (PHÂN TÍCH VÀ THIẾT KẾ)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 w:val="0"/>
          <w:i w:val="0"/>
          <w:color w:val="1E293B"/>
          <w:sz w:val="24"/>
        </w:rPr>
        <w:t>1. Phân tích bài toán quản lý: Hệ thống ExpenseAI giải quyết bài toán lười ghi chép tài chính của sinh viên và người trẻ bằng việc ứng dụng AI tự động hóa 80% công đoạn nhập liệu.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 w:val="0"/>
          <w:i w:val="0"/>
          <w:color w:val="1E293B"/>
          <w:sz w:val="24"/>
        </w:rPr>
        <w:t>2. Yêu cầu chức năng (Bảng I/P/O): Đặc tả 9 chức năng cốt lõi: Đăng ký, Đăng nhập JWT, Tạo giao dịch tự động phân loại AI, Xem &amp; Lọc đa tiêu chí, Modal Sửa giao dịch, Xóa giao dịch, Quản lý danh mục, Thống kê báo cáo, và Cố vấn tài chính.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 w:val="0"/>
          <w:i w:val="0"/>
          <w:color w:val="1E293B"/>
          <w:sz w:val="24"/>
        </w:rPr>
        <w:t>3. Yêu cầu phi chức năng: Mật khẩu băm Bcrypt, JWT HS256, RBAC chống IDOR, phản hồi API &lt; 100ms, giao diện chuẩn tương phản WCAG 2.1 AA.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 w:val="0"/>
          <w:i w:val="0"/>
          <w:color w:val="1E293B"/>
          <w:sz w:val="24"/>
        </w:rPr>
        <w:t>4. Sơ đồ Use Case &amp; CSDL: 3 Actor chính (Guest, User, Admin). CSDL chuẩn hóa 3NF loại bỏ triệt để dữ liệu dư thừa.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 w:val="0"/>
          <w:i w:val="0"/>
          <w:color w:val="1E293B"/>
          <w:sz w:val="24"/>
        </w:rPr>
        <w:t>5. Kiến trúc 3 tầng: Presentation Layer (Jinja2/OpenDesign), Business Logic Layer (FastAPI/RBAC/AI Services), Data Access Layer (SQLAlchemy/PostgreSQL 15).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PHẦN II: BÀI KIỂM TRA THƯỜNG XUYÊN 2 (LẬP TRÌNH CƠ BẢN VÀ HOÀN THIỆN NGHIỆP VỤ)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 w:val="0"/>
          <w:i w:val="0"/>
          <w:color w:val="1E293B"/>
          <w:sz w:val="24"/>
        </w:rPr>
        <w:t>1. Cấu trúc Router/Service: Module hóa sạch sẽ theo chuẩn công nghiệp (api, services, models, schemas, utils, templates, static).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 w:val="0"/>
          <w:i w:val="0"/>
          <w:color w:val="1E293B"/>
          <w:sz w:val="24"/>
        </w:rPr>
        <w:t>2. Xác thực và Phân quyền: Cơ chế đăng nhập kép hỗ trợ đồng thời Cookie trình duyệt và Bearer Token. Phân quyền RBAC 3 vai trò (admin, user, viewer).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 w:val="0"/>
          <w:i w:val="0"/>
          <w:color w:val="1E293B"/>
          <w:sz w:val="24"/>
        </w:rPr>
        <w:t>3. Hoàn thiện CRUD &amp; Bộ lọc: Modal Chỉnh sửa giao dịch trực tiếp bằng Fetch API không reload trang. Bộ lọc tìm kiếm kết hợp từ khóa, khoảng ngày và danh mục.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 w:val="0"/>
          <w:i w:val="0"/>
          <w:color w:val="1E293B"/>
          <w:sz w:val="24"/>
        </w:rPr>
        <w:t>4. Thống kê &amp; Giao diện: Dashboard Chart.js trực quan hóa tỷ trọng chi tiêu. Giao diện OpenDesign Glassmorphism phân định rõ Thu (+ xanh lá) và Chi (- đỏ).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 w:val="0"/>
          <w:i w:val="0"/>
          <w:color w:val="1E293B"/>
          <w:sz w:val="24"/>
        </w:rPr>
        <w:t>5. Seed Data &amp; Safe Handling: Nạp tự động 30 ngày giao dịch mẫu sinh viên. Xử lý ngoại lệ an toàn với db.rollback() tự động khi lỗi, ngăn chặn crash server 100%.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PHẦN III: BÀI KIỂM TRA THƯỜNG XUYÊN 3 (TÍCH HỢP AI VÀ KIỂM THỬ TỰ ĐỘNG)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 w:val="0"/>
          <w:i w:val="0"/>
          <w:color w:val="1E293B"/>
          <w:sz w:val="24"/>
        </w:rPr>
        <w:t>1. Mô hình Invisible AI: Nhúng AI trực tiếp vào luồng tạo giao dịch và khối Cố vấn tài chính Dashboard, loại bỏ hoàn toàn sự rườm rà của chatbot truyền thống.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 w:val="0"/>
          <w:i w:val="0"/>
          <w:color w:val="1E293B"/>
          <w:sz w:val="24"/>
        </w:rPr>
        <w:t>2. Kỹ thuật Prompt 3 Vòng &amp; Kết quả Đánh giá Khoa học: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 w:val="0"/>
          <w:i w:val="0"/>
          <w:color w:val="1E293B"/>
          <w:sz w:val="24"/>
        </w:rPr>
        <w:t>Thử nghiệm trên 50 câu giao dịch sinh viên thực tế:</w:t>
        <w:br/>
        <w:t>• Vòng 1 (Prompt tự do): 100% lỗi JSON, độ chính xác 72%.</w:t>
        <w:br/>
        <w:t>• Vòng 2 (Yêu cầu JSON thô): 16% lỗi JSON, độ chính xác 84%.</w:t>
        <w:br/>
        <w:t>• Vòng 3 (Kẹp danh mục cứng + JSON Mode, temp=0.0): 0% lỗi JSON, độ chính xác tổng thể đạt 96.0%.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Danh mục</w:t>
            </w:r>
          </w:p>
        </w:tc>
        <w:tc>
          <w:tcPr>
            <w:tcW w:type="dxa" w:w="1140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Mẫu</w:t>
            </w:r>
          </w:p>
        </w:tc>
        <w:tc>
          <w:tcPr>
            <w:tcW w:type="dxa" w:w="1140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TP</w:t>
            </w:r>
          </w:p>
        </w:tc>
        <w:tc>
          <w:tcPr>
            <w:tcW w:type="dxa" w:w="1140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FP</w:t>
            </w:r>
          </w:p>
        </w:tc>
        <w:tc>
          <w:tcPr>
            <w:tcW w:type="dxa" w:w="1140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FN</w:t>
            </w:r>
          </w:p>
        </w:tc>
        <w:tc>
          <w:tcPr>
            <w:tcW w:type="dxa" w:w="1140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140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140"/>
            <w:shd w:fill="1A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Ăn uống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94.7%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100.0%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97.3%</w:t>
            </w:r>
          </w:p>
        </w:tc>
      </w:tr>
      <w:tr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Di chuyển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100.0%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100.0%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100.0%</w:t>
            </w:r>
          </w:p>
        </w:tc>
      </w:tr>
      <w:tr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Học tập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100.0%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100.0%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100.0%</w:t>
            </w:r>
          </w:p>
        </w:tc>
      </w:tr>
      <w:tr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Thu nhập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100.0%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100.0%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100.0%</w:t>
            </w:r>
          </w:p>
        </w:tc>
      </w:tr>
      <w:tr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Giải trí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83.3%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83.3%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sz w:val="20"/>
              </w:rPr>
              <w:t>83.3%</w:t>
            </w:r>
          </w:p>
        </w:tc>
      </w:tr>
      <w:tr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Khác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100.0%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75.0%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r>
              <w:rPr>
                <w:rFonts w:ascii="Times New Roman" w:hAnsi="Times New Roman"/>
                <w:sz w:val="20"/>
              </w:rPr>
              <w:t>85.7%</w:t>
            </w:r>
          </w:p>
        </w:tc>
      </w:tr>
      <w:tr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E2E8F0"/>
          </w:tcPr>
          <w:p>
            <w:r>
              <w:rPr>
                <w:rFonts w:ascii="Times New Roman" w:hAnsi="Times New Roman"/>
                <w:b/>
                <w:sz w:val="20"/>
              </w:rPr>
              <w:t>TỔNG HỢP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E2E8F0"/>
          </w:tcPr>
          <w:p>
            <w:r>
              <w:rPr>
                <w:rFonts w:ascii="Times New Roman" w:hAnsi="Times New Roman"/>
                <w:b/>
                <w:sz w:val="20"/>
              </w:rPr>
              <w:t>50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E2E8F0"/>
          </w:tcPr>
          <w:p>
            <w:r>
              <w:rPr>
                <w:rFonts w:ascii="Times New Roman" w:hAnsi="Times New Roman"/>
                <w:b/>
                <w:sz w:val="20"/>
              </w:rPr>
              <w:t>48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E2E8F0"/>
          </w:tcPr>
          <w:p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E2E8F0"/>
          </w:tcPr>
          <w:p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E2E8F0"/>
          </w:tcPr>
          <w:p>
            <w:r>
              <w:rPr>
                <w:rFonts w:ascii="Times New Roman" w:hAnsi="Times New Roman"/>
                <w:b/>
                <w:sz w:val="20"/>
              </w:rPr>
              <w:t>95.8%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E2E8F0"/>
          </w:tcPr>
          <w:p>
            <w:r>
              <w:rPr>
                <w:rFonts w:ascii="Times New Roman" w:hAnsi="Times New Roman"/>
                <w:b/>
                <w:sz w:val="20"/>
              </w:rPr>
              <w:t>96.2%</w:t>
            </w:r>
          </w:p>
        </w:tc>
        <w:tc>
          <w:tcPr>
            <w:tcW w:type="dxa" w:w="1140"/>
            <w:tcMar>
              <w:top w:w="60" w:type="dxa"/>
              <w:bottom w:w="60" w:type="dxa"/>
              <w:left w:w="60" w:type="dxa"/>
              <w:right w:w="60" w:type="dxa"/>
            </w:tcMar>
            <w:shd w:fill="E2E8F0"/>
          </w:tcPr>
          <w:p>
            <w:r>
              <w:rPr>
                <w:rFonts w:ascii="Times New Roman" w:hAnsi="Times New Roman"/>
                <w:b/>
                <w:sz w:val="20"/>
              </w:rPr>
              <w:t>96.0%</w:t>
            </w:r>
          </w:p>
        </w:tc>
      </w:tr>
    </w:tbl>
    <w:p>
      <w:pPr>
        <w:spacing w:line="312" w:lineRule="auto" w:after="80"/>
        <w:jc w:val="both"/>
      </w:pPr>
      <w:r>
        <w:rPr>
          <w:rFonts w:ascii="Times New Roman" w:hAnsi="Times New Roman"/>
          <w:b w:val="0"/>
          <w:i w:val="0"/>
          <w:color w:val="1E293B"/>
          <w:sz w:val="24"/>
        </w:rPr>
        <w:br/>
        <w:t>3. Cơ chế Bộ nhớ Tự học (Agent Memory - TencentDB style) &amp; Heuristic Fallback: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 w:val="0"/>
          <w:i w:val="0"/>
          <w:color w:val="1E293B"/>
          <w:sz w:val="24"/>
        </w:rPr>
        <w:t>• Tầng 1 (L1 Fact Memory): Tự động ghi nhớ quy tắc khi người dùng sửa danh mục giao dịch vào bảng user_memory_rules. Lần sau nhập lại từ khóa tương tự, hệ thống gán nhãn đúng 100% với độ trễ 0ms và 0 token tiêu tốn.</w:t>
        <w:br/>
        <w:t>• Tầng 2 (Deep AI): Gọi OpenAI API.</w:t>
        <w:br/>
        <w:t>• Tầng 3 (Zero-Downtime Fallback): Bộ từ điển quy tắc nội bộ tự kích hoạt khi mất mạng hoặc sự cố API.</w:t>
      </w:r>
    </w:p>
    <w:p>
      <w:pPr>
        <w:spacing w:line="312" w:lineRule="auto" w:after="80"/>
        <w:jc w:val="both"/>
      </w:pPr>
      <w:r>
        <w:rPr>
          <w:rFonts w:ascii="Times New Roman" w:hAnsi="Times New Roman"/>
          <w:b w:val="0"/>
          <w:i w:val="0"/>
          <w:color w:val="1E293B"/>
          <w:sz w:val="24"/>
        </w:rPr>
        <w:t>4. Bộ kiểm thử tự động toàn diện: Đạt kết quả xuất sắc 36/36 Test Cases Pytest PASS 100%, bảo vệ an toàn toàn diện các luồng Auth, RBAC, CRUD, Báo cáo và Vòng lặp tự học Agent Memory.</w:t>
      </w:r>
    </w:p>
    <w:sectPr w:rsidR="00FC693F" w:rsidRPr="0006063C" w:rsidSect="00034616">
      <w:pgSz w:w="12240" w:h="15840"/>
      <w:pgMar w:top="1134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