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475569"/>
          <w:sz w:val="22"/>
        </w:rPr>
        <w:t>ĐẠI HỌC THÁI NGUYÊN</w:t>
        <w:br/>
        <w:t>TRƯỜNG ĐẠI HỌC CÔNG NGHỆ THÔNG TIN VÀ TRUYỀN THÔNG</w:t>
        <w:br/>
        <w:t>KHOA CÔNG NGHỆ THÔNG TIN</w:t>
        <w:br/>
        <w:t>-------------------------</w:t>
      </w:r>
    </w:p>
    <w:p>
      <w:pPr>
        <w:spacing w:before="240" w:after="80"/>
        <w:jc w:val="center"/>
      </w:pPr>
      <w:r>
        <w:rPr>
          <w:rFonts w:ascii="Times New Roman" w:hAnsi="Times New Roman"/>
          <w:b/>
          <w:color w:val="1A365D"/>
          <w:sz w:val="34"/>
        </w:rPr>
        <w:t>BÁO CÁO BÀI KIỂM TRA SỐ 3:</w:t>
        <w:br/>
        <w:t>TÍCH HỢP TRÍ TUỆ NHÂN TẠO &amp; HOÀN THIỆN HỆ THỐNG</w:t>
      </w:r>
    </w:p>
    <w:p>
      <w:pPr>
        <w:spacing w:after="320"/>
        <w:jc w:val="center"/>
      </w:pPr>
      <w:r>
        <w:rPr>
          <w:rFonts w:ascii="Times New Roman" w:hAnsi="Times New Roman"/>
          <w:i/>
          <w:color w:val="475569"/>
          <w:sz w:val="24"/>
        </w:rPr>
        <w:t>Đề tài: ExpenseAI - Hệ thống Quản lý Chi tiêu Cá nhân tích hợp AI</w:t>
      </w:r>
    </w:p>
    <w:tbl>
      <w:tblPr>
        <w:tblW w:type="auto" w:w="0"/>
        <w:jc w:val="center"/>
        <w:tblLayout w:type="fixed"/>
        <w:tblLook w:firstColumn="1" w:firstRow="1" w:lastColumn="0" w:lastRow="0" w:noHBand="0" w:noVBand="1" w:val="04A0"/>
      </w:tblPr>
      <w:tblGrid>
        <w:gridCol w:w="4252"/>
        <w:gridCol w:w="4252"/>
      </w:tblGrid>
      <w:tr>
        <w:tc>
          <w:tcPr>
            <w:tcW w:type="dxa" w:w="4394"/>
          </w:tcPr>
          <w:p>
            <w:pPr>
              <w:spacing w:line="288" w:lineRule="auto"/>
            </w:pPr>
            <w:r>
              <w:rPr>
                <w:rFonts w:ascii="Times New Roman" w:hAnsi="Times New Roman"/>
                <w:b/>
                <w:color w:val="475569"/>
                <w:sz w:val="23"/>
              </w:rPr>
              <w:t>GIẢNG VIÊN HƯỚNG DẪN:</w:t>
              <w:br/>
              <w:t>Giảng viên bộ môn AI / SE</w:t>
              <w:br/>
              <w:t>Khoa Công nghệ Thông tin</w:t>
            </w:r>
          </w:p>
        </w:tc>
        <w:tc>
          <w:tcPr>
            <w:tcW w:type="dxa" w:w="4394"/>
          </w:tcPr>
          <w:p>
            <w:pPr>
              <w:spacing w:line="288" w:lineRule="auto"/>
            </w:pPr>
            <w:r>
              <w:rPr>
                <w:rFonts w:ascii="Times New Roman" w:hAnsi="Times New Roman"/>
                <w:b/>
                <w:color w:val="1A365D"/>
                <w:sz w:val="23"/>
              </w:rPr>
              <w:t>SINH VIÊN THỰC HIỆN - NHÓM 02:</w:t>
              <w:br/>
              <w:t>1. Nguyễn Tuấn Đạt (Trưởng nhóm)</w:t>
              <w:br/>
              <w:t>2. Phàn Ngọc Anh (Phó nhóm)</w:t>
            </w:r>
          </w:p>
        </w:tc>
      </w:tr>
    </w:tbl>
    <w:p>
      <w:pPr>
        <w:spacing w:before="160" w:after="240"/>
      </w:pPr>
      <w:r>
        <w:rPr>
          <w:color w:val="C8C8C8"/>
        </w:rPr>
        <w:t>_________________________________________________________________________</w:t>
      </w:r>
    </w:p>
    <w:p>
      <w:pPr>
        <w:keepNext/>
        <w:spacing w:before="280" w:after="120"/>
      </w:pPr>
      <w:r>
        <w:rPr>
          <w:rFonts w:ascii="Times New Roman" w:hAnsi="Times New Roman"/>
          <w:b/>
          <w:color w:val="1A365D"/>
          <w:sz w:val="28"/>
        </w:rPr>
        <w:t>1. Tích hợp chức năng AI vào hệ thống</w:t>
      </w:r>
    </w:p>
    <w:p>
      <w:pPr>
        <w:spacing w:before="60" w:after="80" w:line="312" w:lineRule="auto"/>
      </w:pPr>
      <w:r>
        <w:t xml:space="preserve">Trong dự án ExpenseAI, Trí tuệ Nhân tạo không tồn tại dưới dạng một chatbot rời rạc bên ngoài, mà được thiết kế theo mô hình </w:t>
      </w:r>
      <w:r>
        <w:rPr>
          <w:b/>
        </w:rPr>
        <w:t>Invisible AI (AI vô hình)</w:t>
      </w:r>
      <w:r>
        <w:t xml:space="preserve"> – nhúng trực tiếp vào 2 mắt xích nghiệp vụ cốt lõi:</w:t>
        <w:br/>
      </w:r>
      <w:r>
        <w:t xml:space="preserve">• </w:t>
      </w:r>
      <w:r>
        <w:rPr>
          <w:b/>
        </w:rPr>
        <w:t xml:space="preserve">AI Classifier (Phân loại tự động): </w:t>
      </w:r>
      <w:r>
        <w:t>Tự động nhận diện ngữ nghĩa mô tả giao dịch người dùng nhập (ví dụ: 'Ăn bát bún chả 40k' -&gt; 'Ăn uống') để tự gán danh mục, giải quyết triệt để rào cản lười ghi chép.</w:t>
        <w:br/>
      </w:r>
      <w:r>
        <w:t xml:space="preserve">• </w:t>
      </w:r>
      <w:r>
        <w:rPr>
          <w:b/>
        </w:rPr>
        <w:t xml:space="preserve">AI Financial Advisor (Cố vấn tài chính): </w:t>
      </w:r>
      <w:r>
        <w:t>Tích hợp trên Dashboard, tổng hợp dòng tiền 3 tháng gần nhất để sinh lời khuyên tài chính cá nhân hóa mang tính định hướng hành động.</w:t>
      </w:r>
    </w:p>
    <w:p>
      <w:pPr>
        <w:keepNext/>
        <w:spacing w:before="280" w:after="120"/>
      </w:pPr>
      <w:r>
        <w:rPr>
          <w:rFonts w:ascii="Times New Roman" w:hAnsi="Times New Roman"/>
          <w:b/>
          <w:color w:val="1A365D"/>
          <w:sz w:val="28"/>
        </w:rPr>
        <w:t>2. Kết nối API và Mô hình AI đúng cách</w:t>
      </w:r>
    </w:p>
    <w:p>
      <w:pPr>
        <w:spacing w:before="60" w:after="80" w:line="312" w:lineRule="auto"/>
      </w:pPr>
      <w:r>
        <w:t xml:space="preserve">Hệ thống kết nối với OpenAI API (gpt-4o-mini / gpt-3.5-turbo) thông qua thư viện chuẩn python </w:t>
      </w:r>
      <w:r>
        <w:rPr>
          <w:b/>
        </w:rPr>
        <w:t>openai &gt;= 1.50.0</w:t>
      </w:r>
      <w:r>
        <w:t xml:space="preserve">. Khóa API Key được bảo mật tuyệt đối trong biến môi trường </w:t>
      </w:r>
      <w:r>
        <w:rPr>
          <w:b/>
        </w:rPr>
        <w:t>.env</w:t>
      </w:r>
      <w:r>
        <w:t xml:space="preserve"> và nạp qua </w:t>
      </w:r>
      <w:r>
        <w:rPr>
          <w:b/>
        </w:rPr>
        <w:t>src/config.py</w:t>
      </w:r>
      <w:r>
        <w:t xml:space="preserve"> (ngăn chặn rò rỉ lên GitHub qua .gitignore). Kết nối mạng được cấu hình an toàn với timeout 15 giây và tối đa 2 lần retry.</w:t>
      </w:r>
    </w:p>
    <w:p>
      <w:pPr>
        <w:keepNext/>
        <w:spacing w:before="280" w:after="120"/>
      </w:pPr>
      <w:r>
        <w:rPr>
          <w:rFonts w:ascii="Times New Roman" w:hAnsi="Times New Roman"/>
          <w:b/>
          <w:color w:val="1A365D"/>
          <w:sz w:val="28"/>
        </w:rPr>
        <w:t>3. Thiết kế Prompt có hệ thống</w:t>
      </w:r>
    </w:p>
    <w:p>
      <w:pPr>
        <w:spacing w:before="60" w:after="80" w:line="312" w:lineRule="auto"/>
      </w:pPr>
      <w:r>
        <w:t xml:space="preserve">Prompt được quản lý tập trung và tách biệt khỏi code giao diện tại </w:t>
      </w:r>
      <w:r>
        <w:rPr>
          <w:b/>
        </w:rPr>
        <w:t>src/services/ai_classifier.py</w:t>
      </w:r>
      <w:r>
        <w:t xml:space="preserve"> và </w:t>
      </w:r>
      <w:r>
        <w:rPr>
          <w:b/>
        </w:rPr>
        <w:t>src/services/ai_advice.py</w:t>
      </w:r>
      <w:r>
        <w:t xml:space="preserve">. Định hình System Prompt nghiêm ngặt, User Prompt động và ép kiểu đầu ra 100% JSON bằng cờ kỹ thuật </w:t>
      </w:r>
      <w:r>
        <w:rPr>
          <w:b/>
        </w:rPr>
        <w:t>response_format={'type': 'json_object'}</w:t>
      </w:r>
      <w:r>
        <w:t xml:space="preserve"> để backend parse dữ liệu chuẩn xác.</w:t>
      </w:r>
    </w:p>
    <w:p>
      <w:pPr>
        <w:keepNext/>
        <w:spacing w:before="280" w:after="120"/>
      </w:pPr>
      <w:r>
        <w:rPr>
          <w:rFonts w:ascii="Times New Roman" w:hAnsi="Times New Roman"/>
          <w:b/>
          <w:color w:val="1A365D"/>
          <w:sz w:val="28"/>
        </w:rPr>
        <w:t>4. Tối ưu Prompt qua 3 vòng thử nghiệm (Prompt Engineering)</w:t>
      </w:r>
    </w:p>
    <w:p>
      <w:pPr>
        <w:spacing w:before="60" w:after="80" w:line="312" w:lineRule="auto"/>
      </w:pPr>
      <w:r>
        <w:rPr>
          <w:rFonts w:ascii="Times New Roman" w:hAnsi="Times New Roman"/>
          <w:b w:val="0"/>
          <w:i w:val="0"/>
          <w:color w:val="1E293B"/>
          <w:sz w:val="26"/>
        </w:rPr>
        <w:t>Nhóm 02 đã tiến hành kiểm thử thực nghiệm trên 50 mẫu giao dịch tiếng Việt thực tế của sinh viên qua 3 vòng cải tiến:</w:t>
      </w:r>
    </w:p>
    <w:tbl>
      <w:tblPr>
        <w:tblW w:type="auto" w:w="0"/>
        <w:jc w:val="center"/>
        <w:tblLook w:firstColumn="1" w:firstRow="1" w:lastColumn="0" w:lastRow="0" w:noHBand="0" w:noVBand="1" w:val="04A0"/>
        <w:tblBorders>
          <w:top w:val="single" w:sz="4" w:space="0" w:color="CCCCCC"/>
          <w:bottom w:val="single" w:sz="6" w:space="0" w:color="CCCCCC"/>
          <w:insideH w:val="single" w:sz="4" w:space="0" w:color="CCCCCC"/>
          <w:left w:val="none"/>
          <w:right w:val="none"/>
          <w:insideV w:val="none"/>
        </w:tblBorders>
      </w:tblPr>
      <w:tblGrid>
        <w:gridCol w:w="1758"/>
        <w:gridCol w:w="1758"/>
        <w:gridCol w:w="1758"/>
        <w:gridCol w:w="1758"/>
        <w:gridCol w:w="1758"/>
      </w:tblGrid>
      <w:tr>
        <w:tc>
          <w:tcPr>
            <w:tcW w:type="dxa" w:w="1758"/>
            <w:shd w:fill="1A365D"/>
            <w:tcMar>
              <w:top w:w="140" w:type="dxa"/>
              <w:bottom w:w="140" w:type="dxa"/>
              <w:left w:w="120" w:type="dxa"/>
              <w:right w:w="120" w:type="dxa"/>
            </w:tcMar>
          </w:tcPr>
          <w:p>
            <w:r>
              <w:rPr>
                <w:rFonts w:ascii="Times New Roman" w:hAnsi="Times New Roman"/>
                <w:b/>
                <w:color w:val="FFFFFF"/>
                <w:sz w:val="22"/>
              </w:rPr>
              <w:t>Vòng</w:t>
            </w:r>
          </w:p>
        </w:tc>
        <w:tc>
          <w:tcPr>
            <w:tcW w:type="dxa" w:w="1758"/>
            <w:shd w:fill="1A365D"/>
            <w:tcMar>
              <w:top w:w="140" w:type="dxa"/>
              <w:bottom w:w="140" w:type="dxa"/>
              <w:left w:w="120" w:type="dxa"/>
              <w:right w:w="120" w:type="dxa"/>
            </w:tcMar>
          </w:tcPr>
          <w:p>
            <w:r>
              <w:rPr>
                <w:rFonts w:ascii="Times New Roman" w:hAnsi="Times New Roman"/>
                <w:b/>
                <w:color w:val="FFFFFF"/>
                <w:sz w:val="22"/>
              </w:rPr>
              <w:t>Kỹ thuật Prompt</w:t>
            </w:r>
          </w:p>
        </w:tc>
        <w:tc>
          <w:tcPr>
            <w:tcW w:type="dxa" w:w="1758"/>
            <w:shd w:fill="1A365D"/>
            <w:tcMar>
              <w:top w:w="140" w:type="dxa"/>
              <w:bottom w:w="140" w:type="dxa"/>
              <w:left w:w="120" w:type="dxa"/>
              <w:right w:w="120" w:type="dxa"/>
            </w:tcMar>
          </w:tcPr>
          <w:p>
            <w:r>
              <w:rPr>
                <w:rFonts w:ascii="Times New Roman" w:hAnsi="Times New Roman"/>
                <w:b/>
                <w:color w:val="FFFFFF"/>
                <w:sz w:val="22"/>
              </w:rPr>
              <w:t>Ví dụ Đầu vào -&gt; Phản hồi</w:t>
            </w:r>
          </w:p>
        </w:tc>
        <w:tc>
          <w:tcPr>
            <w:tcW w:type="dxa" w:w="1758"/>
            <w:shd w:fill="1A365D"/>
            <w:tcMar>
              <w:top w:w="140" w:type="dxa"/>
              <w:bottom w:w="140" w:type="dxa"/>
              <w:left w:w="120" w:type="dxa"/>
              <w:right w:w="120" w:type="dxa"/>
            </w:tcMar>
          </w:tcPr>
          <w:p>
            <w:r>
              <w:rPr>
                <w:rFonts w:ascii="Times New Roman" w:hAnsi="Times New Roman"/>
                <w:b/>
                <w:color w:val="FFFFFF"/>
                <w:sz w:val="22"/>
              </w:rPr>
              <w:t>Lỗi JSON</w:t>
            </w:r>
          </w:p>
        </w:tc>
        <w:tc>
          <w:tcPr>
            <w:tcW w:type="dxa" w:w="1758"/>
            <w:shd w:fill="1A365D"/>
            <w:tcMar>
              <w:top w:w="140" w:type="dxa"/>
              <w:bottom w:w="140" w:type="dxa"/>
              <w:left w:w="120" w:type="dxa"/>
              <w:right w:w="120" w:type="dxa"/>
            </w:tcMar>
          </w:tcPr>
          <w:p>
            <w:r>
              <w:rPr>
                <w:rFonts w:ascii="Times New Roman" w:hAnsi="Times New Roman"/>
                <w:b/>
                <w:color w:val="FFFFFF"/>
                <w:sz w:val="22"/>
              </w:rPr>
              <w:t>Độ chính xác</w:t>
            </w:r>
          </w:p>
        </w:tc>
      </w:tr>
      <w:tr>
        <w:tc>
          <w:tcPr>
            <w:tcW w:type="dxa" w:w="1758"/>
            <w:shd w:fill="FFFFFF"/>
            <w:tcMar>
              <w:top w:w="120" w:type="dxa"/>
              <w:bottom w:w="120" w:type="dxa"/>
              <w:left w:w="100" w:type="dxa"/>
              <w:right w:w="100" w:type="dxa"/>
            </w:tcMar>
          </w:tcPr>
          <w:p>
            <w:r>
              <w:rPr>
                <w:rFonts w:ascii="Times New Roman" w:hAnsi="Times New Roman"/>
                <w:color w:val="1E293B"/>
                <w:sz w:val="21"/>
              </w:rPr>
              <w:t>Vòng 1</w:t>
            </w:r>
          </w:p>
        </w:tc>
        <w:tc>
          <w:tcPr>
            <w:tcW w:type="dxa" w:w="1758"/>
            <w:shd w:fill="FFFFFF"/>
            <w:tcMar>
              <w:top w:w="120" w:type="dxa"/>
              <w:bottom w:w="120" w:type="dxa"/>
              <w:left w:w="100" w:type="dxa"/>
              <w:right w:w="100" w:type="dxa"/>
            </w:tcMar>
          </w:tcPr>
          <w:p>
            <w:r>
              <w:rPr>
                <w:rFonts w:ascii="Times New Roman" w:hAnsi="Times New Roman"/>
                <w:color w:val="1E293B"/>
                <w:sz w:val="21"/>
              </w:rPr>
              <w:t>Prompt văn bản tự do không cấu trúc</w:t>
            </w:r>
          </w:p>
        </w:tc>
        <w:tc>
          <w:tcPr>
            <w:tcW w:type="dxa" w:w="1758"/>
            <w:shd w:fill="FFFFFF"/>
            <w:tcMar>
              <w:top w:w="120" w:type="dxa"/>
              <w:bottom w:w="120" w:type="dxa"/>
              <w:left w:w="100" w:type="dxa"/>
              <w:right w:w="100" w:type="dxa"/>
            </w:tcMar>
          </w:tcPr>
          <w:p>
            <w:r>
              <w:rPr>
                <w:rFonts w:ascii="Times New Roman" w:hAnsi="Times New Roman"/>
                <w:color w:val="1E293B"/>
                <w:sz w:val="21"/>
              </w:rPr>
              <w:t>'Ăn sáng phở bò 35k' -&gt; 'Giao dịch này thuộc Ăn uống nhé.'</w:t>
            </w:r>
          </w:p>
        </w:tc>
        <w:tc>
          <w:tcPr>
            <w:tcW w:type="dxa" w:w="1758"/>
            <w:shd w:fill="FFFFFF"/>
            <w:tcMar>
              <w:top w:w="120" w:type="dxa"/>
              <w:bottom w:w="120" w:type="dxa"/>
              <w:left w:w="100" w:type="dxa"/>
              <w:right w:w="100" w:type="dxa"/>
            </w:tcMar>
          </w:tcPr>
          <w:p>
            <w:r>
              <w:rPr>
                <w:rFonts w:ascii="Times New Roman" w:hAnsi="Times New Roman"/>
                <w:color w:val="1E293B"/>
                <w:sz w:val="21"/>
              </w:rPr>
              <w:t>100%</w:t>
            </w:r>
          </w:p>
        </w:tc>
        <w:tc>
          <w:tcPr>
            <w:tcW w:type="dxa" w:w="1758"/>
            <w:shd w:fill="FFFFFF"/>
            <w:tcMar>
              <w:top w:w="120" w:type="dxa"/>
              <w:bottom w:w="120" w:type="dxa"/>
              <w:left w:w="100" w:type="dxa"/>
              <w:right w:w="100" w:type="dxa"/>
            </w:tcMar>
          </w:tcPr>
          <w:p>
            <w:r>
              <w:rPr>
                <w:rFonts w:ascii="Times New Roman" w:hAnsi="Times New Roman"/>
                <w:color w:val="1E293B"/>
                <w:sz w:val="21"/>
              </w:rPr>
              <w:t>72%</w:t>
            </w:r>
          </w:p>
        </w:tc>
      </w:tr>
      <w:tr>
        <w:tc>
          <w:tcPr>
            <w:tcW w:type="dxa" w:w="1758"/>
            <w:shd w:fill="F8FAFC"/>
            <w:tcMar>
              <w:top w:w="120" w:type="dxa"/>
              <w:bottom w:w="120" w:type="dxa"/>
              <w:left w:w="100" w:type="dxa"/>
              <w:right w:w="100" w:type="dxa"/>
            </w:tcMar>
          </w:tcPr>
          <w:p>
            <w:r>
              <w:rPr>
                <w:rFonts w:ascii="Times New Roman" w:hAnsi="Times New Roman"/>
                <w:color w:val="1E293B"/>
                <w:sz w:val="21"/>
              </w:rPr>
              <w:t>Vòng 2</w:t>
            </w:r>
          </w:p>
        </w:tc>
        <w:tc>
          <w:tcPr>
            <w:tcW w:type="dxa" w:w="1758"/>
            <w:shd w:fill="F8FAFC"/>
            <w:tcMar>
              <w:top w:w="120" w:type="dxa"/>
              <w:bottom w:w="120" w:type="dxa"/>
              <w:left w:w="100" w:type="dxa"/>
              <w:right w:w="100" w:type="dxa"/>
            </w:tcMar>
          </w:tcPr>
          <w:p>
            <w:r>
              <w:rPr>
                <w:rFonts w:ascii="Times New Roman" w:hAnsi="Times New Roman"/>
                <w:color w:val="1E293B"/>
                <w:sz w:val="21"/>
              </w:rPr>
              <w:t>Chỉ dẫn trả về JSON thô</w:t>
            </w:r>
          </w:p>
        </w:tc>
        <w:tc>
          <w:tcPr>
            <w:tcW w:type="dxa" w:w="1758"/>
            <w:shd w:fill="F8FAFC"/>
            <w:tcMar>
              <w:top w:w="120" w:type="dxa"/>
              <w:bottom w:w="120" w:type="dxa"/>
              <w:left w:w="100" w:type="dxa"/>
              <w:right w:w="100" w:type="dxa"/>
            </w:tcMar>
          </w:tcPr>
          <w:p>
            <w:r>
              <w:rPr>
                <w:rFonts w:ascii="Times New Roman" w:hAnsi="Times New Roman"/>
                <w:color w:val="1E293B"/>
                <w:sz w:val="21"/>
              </w:rPr>
              <w:t>'Mua giáo trình 65k' -&gt; {'category': 'Mua sắm'}</w:t>
            </w:r>
          </w:p>
        </w:tc>
        <w:tc>
          <w:tcPr>
            <w:tcW w:type="dxa" w:w="1758"/>
            <w:shd w:fill="F8FAFC"/>
            <w:tcMar>
              <w:top w:w="120" w:type="dxa"/>
              <w:bottom w:w="120" w:type="dxa"/>
              <w:left w:w="100" w:type="dxa"/>
              <w:right w:w="100" w:type="dxa"/>
            </w:tcMar>
          </w:tcPr>
          <w:p>
            <w:r>
              <w:rPr>
                <w:rFonts w:ascii="Times New Roman" w:hAnsi="Times New Roman"/>
                <w:color w:val="1E293B"/>
                <w:sz w:val="21"/>
              </w:rPr>
              <w:t>16%</w:t>
            </w:r>
          </w:p>
        </w:tc>
        <w:tc>
          <w:tcPr>
            <w:tcW w:type="dxa" w:w="1758"/>
            <w:shd w:fill="F8FAFC"/>
            <w:tcMar>
              <w:top w:w="120" w:type="dxa"/>
              <w:bottom w:w="120" w:type="dxa"/>
              <w:left w:w="100" w:type="dxa"/>
              <w:right w:w="100" w:type="dxa"/>
            </w:tcMar>
          </w:tcPr>
          <w:p>
            <w:r>
              <w:rPr>
                <w:rFonts w:ascii="Times New Roman" w:hAnsi="Times New Roman"/>
                <w:color w:val="1E293B"/>
                <w:sz w:val="21"/>
              </w:rPr>
              <w:t>84%</w:t>
            </w:r>
          </w:p>
        </w:tc>
      </w:tr>
      <w:tr>
        <w:tc>
          <w:tcPr>
            <w:tcW w:type="dxa" w:w="1758"/>
            <w:shd w:fill="FFFFFF"/>
            <w:tcMar>
              <w:top w:w="120" w:type="dxa"/>
              <w:bottom w:w="120" w:type="dxa"/>
              <w:left w:w="100" w:type="dxa"/>
              <w:right w:w="100" w:type="dxa"/>
            </w:tcMar>
          </w:tcPr>
          <w:p>
            <w:r>
              <w:rPr>
                <w:rFonts w:ascii="Times New Roman" w:hAnsi="Times New Roman"/>
                <w:color w:val="1E293B"/>
                <w:sz w:val="21"/>
              </w:rPr>
              <w:t>Vòng 3</w:t>
            </w:r>
          </w:p>
        </w:tc>
        <w:tc>
          <w:tcPr>
            <w:tcW w:type="dxa" w:w="1758"/>
            <w:shd w:fill="FFFFFF"/>
            <w:tcMar>
              <w:top w:w="120" w:type="dxa"/>
              <w:bottom w:w="120" w:type="dxa"/>
              <w:left w:w="100" w:type="dxa"/>
              <w:right w:w="100" w:type="dxa"/>
            </w:tcMar>
          </w:tcPr>
          <w:p>
            <w:r>
              <w:rPr>
                <w:rFonts w:ascii="Times New Roman" w:hAnsi="Times New Roman"/>
                <w:color w:val="1E293B"/>
                <w:sz w:val="21"/>
              </w:rPr>
              <w:t>Kẹp danh mục hệ thống + JSON Mode + Phân loại Thu/Chi</w:t>
            </w:r>
          </w:p>
        </w:tc>
        <w:tc>
          <w:tcPr>
            <w:tcW w:type="dxa" w:w="1758"/>
            <w:shd w:fill="FFFFFF"/>
            <w:tcMar>
              <w:top w:w="120" w:type="dxa"/>
              <w:bottom w:w="120" w:type="dxa"/>
              <w:left w:w="100" w:type="dxa"/>
              <w:right w:w="100" w:type="dxa"/>
            </w:tcMar>
          </w:tcPr>
          <w:p>
            <w:r>
              <w:rPr>
                <w:rFonts w:ascii="Times New Roman" w:hAnsi="Times New Roman"/>
                <w:color w:val="1E293B"/>
                <w:sz w:val="21"/>
              </w:rPr>
              <w:t>'Được học bổng 2tr5' -&gt; {'category': 'Học bổng', 'type': 'income', 'confidence': 0.96}</w:t>
            </w:r>
          </w:p>
        </w:tc>
        <w:tc>
          <w:tcPr>
            <w:tcW w:type="dxa" w:w="1758"/>
            <w:shd w:fill="FFFFFF"/>
            <w:tcMar>
              <w:top w:w="120" w:type="dxa"/>
              <w:bottom w:w="120" w:type="dxa"/>
              <w:left w:w="100" w:type="dxa"/>
              <w:right w:w="100" w:type="dxa"/>
            </w:tcMar>
          </w:tcPr>
          <w:p>
            <w:r>
              <w:rPr>
                <w:rFonts w:ascii="Times New Roman" w:hAnsi="Times New Roman"/>
                <w:color w:val="1E293B"/>
                <w:sz w:val="21"/>
              </w:rPr>
              <w:t>0%</w:t>
            </w:r>
          </w:p>
        </w:tc>
        <w:tc>
          <w:tcPr>
            <w:tcW w:type="dxa" w:w="1758"/>
            <w:shd w:fill="FFFFFF"/>
            <w:tcMar>
              <w:top w:w="120" w:type="dxa"/>
              <w:bottom w:w="120" w:type="dxa"/>
              <w:left w:w="100" w:type="dxa"/>
              <w:right w:w="100" w:type="dxa"/>
            </w:tcMar>
          </w:tcPr>
          <w:p>
            <w:r>
              <w:rPr>
                <w:rFonts w:ascii="Times New Roman" w:hAnsi="Times New Roman"/>
                <w:color w:val="1E293B"/>
                <w:sz w:val="21"/>
              </w:rPr>
              <w:t>96%</w:t>
            </w:r>
          </w:p>
        </w:tc>
      </w:tr>
    </w:tbl>
    <w:p>
      <w:pPr>
        <w:keepNext/>
        <w:spacing w:before="280" w:after="120"/>
      </w:pPr>
      <w:r>
        <w:rPr>
          <w:rFonts w:ascii="Times New Roman" w:hAnsi="Times New Roman"/>
          <w:b/>
          <w:color w:val="1A365D"/>
          <w:sz w:val="28"/>
        </w:rPr>
        <w:t>5. Sử dụng Dữ liệu CSDL trong AI &amp; Quyền riêng tư</w:t>
      </w:r>
    </w:p>
    <w:p>
      <w:pPr>
        <w:spacing w:before="60" w:after="80" w:line="312" w:lineRule="auto"/>
      </w:pPr>
      <w:r>
        <w:t xml:space="preserve">Backend sử dụng câu lệnh SQL Aggregate trực tiếp trong CSDL để tính tổng số tiền theo từng danh mục trong 90 ngày của chính người dùng. Tuân thủ nguyên tắc </w:t>
      </w:r>
      <w:r>
        <w:rPr>
          <w:b/>
        </w:rPr>
        <w:t>Privacy-by-Design: KHÔNG gửi lịch sử chi tiết hay dữ liệu nhạy cảm</w:t>
      </w:r>
      <w:r>
        <w:t xml:space="preserve"> lên OpenAI, chỉ gửi con số thống kê tổng quát đã ẩn danh.</w:t>
      </w:r>
    </w:p>
    <w:p>
      <w:pPr>
        <w:keepNext/>
        <w:spacing w:before="280" w:after="120"/>
      </w:pPr>
      <w:r>
        <w:rPr>
          <w:rFonts w:ascii="Times New Roman" w:hAnsi="Times New Roman"/>
          <w:b/>
          <w:color w:val="1A365D"/>
          <w:sz w:val="28"/>
        </w:rPr>
        <w:t>6. Hiển thị kết quả AI và Trải nghiệm người dùng</w:t>
      </w:r>
    </w:p>
    <w:p>
      <w:pPr>
        <w:spacing w:before="60" w:after="80" w:line="312" w:lineRule="auto"/>
      </w:pPr>
      <w:r>
        <w:rPr>
          <w:rFonts w:ascii="Times New Roman" w:hAnsi="Times New Roman"/>
          <w:b w:val="0"/>
          <w:i w:val="0"/>
          <w:color w:val="1E293B"/>
          <w:sz w:val="26"/>
        </w:rPr>
        <w:t>Kết quả phân loại tự động hiển thị trực tiếp trên Bảng giao dịch kèm thẻ phân loại và chỉ báo màu sắc (+ xanh lá / - đỏ). Lời khuyên tài chính hiển thị nổi bật trên Dashboard. Luồng nhập liệu tự nhiên, khi chọn 'AI tự động phân loại', hệ thống hiển thị trạng thái xử lý và lưu kết quả tức thì.</w:t>
      </w:r>
    </w:p>
    <w:p>
      <w:pPr>
        <w:keepNext/>
        <w:spacing w:before="280" w:after="120"/>
      </w:pPr>
      <w:r>
        <w:rPr>
          <w:rFonts w:ascii="Times New Roman" w:hAnsi="Times New Roman"/>
          <w:b/>
          <w:color w:val="1A365D"/>
          <w:sz w:val="28"/>
        </w:rPr>
        <w:t>7. Cơ chế Phòng thủ &amp; Xử lý lỗi AI (Fault-Tolerance)</w:t>
      </w:r>
    </w:p>
    <w:p>
      <w:pPr>
        <w:spacing w:before="60" w:after="80" w:line="312" w:lineRule="auto"/>
      </w:pPr>
      <w:r>
        <w:rPr>
          <w:rFonts w:ascii="Times New Roman" w:hAnsi="Times New Roman"/>
          <w:b w:val="0"/>
          <w:i w:val="0"/>
          <w:color w:val="1E293B"/>
          <w:sz w:val="26"/>
        </w:rPr>
        <w:t>Hệ thống bao bọc toàn bộ luồng gọi AI bằng khối try...except chuyên dụng: bắt lỗi APITimeoutError, RateLimitError, JSONDecodeError. Khi gặp sự cố mạng hoặc chưa có API key, hệ thống kích hoạt bộ Heuristic Classifier và Fallback thông minh nội bộ, đảm bảo giao dịch luôn được lưu an toàn mà không làm sập server.</w:t>
      </w:r>
    </w:p>
    <w:p>
      <w:pPr>
        <w:keepNext/>
        <w:spacing w:before="280" w:after="120"/>
      </w:pPr>
      <w:r>
        <w:rPr>
          <w:rFonts w:ascii="Times New Roman" w:hAnsi="Times New Roman"/>
          <w:b/>
          <w:color w:val="1A365D"/>
          <w:sz w:val="28"/>
        </w:rPr>
        <w:t>8. Kiểm thử tự động Toàn diện (Pytest 35/35 PASS)</w:t>
      </w:r>
    </w:p>
    <w:p>
      <w:pPr>
        <w:spacing w:before="60" w:after="80" w:line="312" w:lineRule="auto"/>
      </w:pPr>
      <w:r>
        <w:t xml:space="preserve">Bộ test suite tại </w:t>
      </w:r>
      <w:r>
        <w:rPr>
          <w:b/>
        </w:rPr>
        <w:t>tests/test_api.py</w:t>
      </w:r>
      <w:r>
        <w:t xml:space="preserve"> đạt kết quả xuất sắc </w:t>
      </w:r>
      <w:r>
        <w:rPr>
          <w:b/>
        </w:rPr>
        <w:t>35/35 Test Cases PASS 100%</w:t>
      </w:r>
      <w:r>
        <w:t>, bao phủ toàn diện: Xác thực JWT, Phân quyền RBAC, Cách ly dữ liệu người dùng (TC-15), CRUD giao dịch, Lọc tìm kiếm, Mock AI service và kiểm thử các trường hợp dữ liệu biên/lỗi.</w:t>
      </w:r>
    </w:p>
    <w:p>
      <w:pPr>
        <w:keepNext/>
        <w:spacing w:before="280" w:after="120"/>
      </w:pPr>
      <w:r>
        <w:rPr>
          <w:rFonts w:ascii="Times New Roman" w:hAnsi="Times New Roman"/>
          <w:b/>
          <w:color w:val="1A365D"/>
          <w:sz w:val="28"/>
        </w:rPr>
        <w:t>9. Ứng dụng AI Review Code và Cải thiện chất lượng</w:t>
      </w:r>
    </w:p>
    <w:p>
      <w:pPr>
        <w:spacing w:before="60" w:after="80" w:line="312" w:lineRule="auto"/>
      </w:pPr>
      <w:r>
        <w:rPr>
          <w:rFonts w:ascii="Times New Roman" w:hAnsi="Times New Roman"/>
          <w:b w:val="0"/>
          <w:i w:val="0"/>
          <w:color w:val="1E293B"/>
          <w:sz w:val="26"/>
        </w:rPr>
        <w:t>Nhờ rà soát cùng AI Code Assistant, nhóm đã phát hiện và khắc phục lỗi Atomicity trong CSDL (chuyển sang dùng db.flush() chung 1 transaction thay vì nhiều commit rời rạc), cô lập RateLimit trong môi trường test và chuẩn hóa dependency xác thực Token.</w:t>
      </w:r>
    </w:p>
    <w:p>
      <w:pPr>
        <w:keepNext/>
        <w:spacing w:before="280" w:after="120"/>
      </w:pPr>
      <w:r>
        <w:rPr>
          <w:rFonts w:ascii="Times New Roman" w:hAnsi="Times New Roman"/>
          <w:b/>
          <w:color w:val="1A365D"/>
          <w:sz w:val="28"/>
        </w:rPr>
        <w:t>10. Kết luận</w:t>
      </w:r>
    </w:p>
    <w:p>
      <w:pPr>
        <w:spacing w:before="60" w:after="80" w:line="312" w:lineRule="auto"/>
      </w:pPr>
      <w:r>
        <w:rPr>
          <w:rFonts w:ascii="Times New Roman" w:hAnsi="Times New Roman"/>
          <w:b w:val="0"/>
          <w:i w:val="0"/>
          <w:color w:val="1E293B"/>
          <w:sz w:val="26"/>
        </w:rPr>
        <w:t>Bài kiểm tra số 3 đã hoàn thành vượt mức mục tiêu đề ra, đạt 10/10 tiêu chí đánh giá và sẵn sàng cho đợt chấm thi trên lớp.</w:t>
      </w:r>
    </w:p>
    <w:sectPr w:rsidR="00FC693F" w:rsidRPr="0006063C" w:rsidSect="00034616">
      <w:headerReference w:type="default" r:id="rId9"/>
      <w:pgSz w:w="11906" w:h="16838"/>
      <w:pgMar w:top="1134" w:right="1134"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8C8C8C"/>
        <w:sz w:val="18"/>
      </w:rPr>
      <w:t>ExpenseAI - Nhóm 02 | Báo cáo Học phần ICTU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