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02_REQUIREMENTS-QA.MD</w:t>
      </w:r>
    </w:p>
    <w:p>
      <w:pPr>
        <w:pStyle w:val="Heading1"/>
      </w:pPr>
      <w:r>
        <w:t>02 - PHỎNG VẤN VÀ LÀM SÁNG TỎ YÊU CẦU (REQUIREMENTS Q&amp;A)</w:t>
      </w:r>
    </w:p>
    <w:p>
      <w:pPr>
        <w:pStyle w:val="Heading2"/>
      </w:pPr>
      <w:r>
        <w:t>1. Các câu hỏi nghiệp vụ làm rõ</w:t>
      </w:r>
    </w:p>
    <w:p>
      <w:pPr>
        <w:pStyle w:val="ListBullet"/>
      </w:pPr>
      <w:r>
        <w:t>**Q1**: Làm thế nào để AI nhận diện các từ lóng số tiền sinh viên thường dùng?</w:t>
      </w:r>
    </w:p>
    <w:p>
      <w:pPr>
        <w:pStyle w:val="ListBullet"/>
      </w:pPr>
      <w:r>
        <w:t>**A1**: Sử dụng quy tắc Prompt Constraints: 199k -&gt; 199.000 VNĐ, 5 củ -&gt; 5.000.000 VNĐ, lít/loét -&gt; 100.000 VNĐ. Nếu có nhiều khoản chi trong 1 câu, cộng tổng lại.</w:t>
      </w:r>
    </w:p>
    <w:p>
      <w:pPr>
        <w:pStyle w:val="ListBullet"/>
      </w:pPr>
      <w:r>
        <w:t>**Q2**: Tiêu chí đánh giá mức độ rủi ro chi tiêu là gì?</w:t>
      </w:r>
    </w:p>
    <w:p>
      <w:pPr>
        <w:pStyle w:val="ListBullet"/>
      </w:pPr>
      <w:r>
        <w:t>**A2**: SAFE (chi hợp lý), WARNING (gần chạm hạn mức), CRITICAL (vượt quá số dư ví / sụt giảm nghiêm trọng tài chính).</w:t>
      </w:r>
    </w:p>
    <w:p>
      <w:pPr>
        <w:pStyle w:val="ListBullet"/>
      </w:pPr>
      <w:r>
        <w:t>**Q3**: Phạm vi trả lời của Trợ lý AI Gemini được kiểm soát như thế nào?</w:t>
      </w:r>
    </w:p>
    <w:p>
      <w:pPr>
        <w:pStyle w:val="ListBullet"/>
      </w:pPr>
      <w:r>
        <w:t>**A3**: Áp dụng quy tắc Allowlist (Tài chính &amp; Toán học) và Denylist (Từ chối 100% câu hỏi ngoài phạm vi bằng mẫu câu chuẩn).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