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color w:val="0EA5E9"/>
          <w:sz w:val="32"/>
        </w:rPr>
        <w:t>SCREEN FLOW &amp; TÀI LIỆU THIẾT KẾ CƠ SỞ DỮ LIỆU</w:t>
      </w:r>
    </w:p>
    <w:p>
      <w:pPr>
        <w:spacing w:after="80" w:line="276" w:lineRule="auto"/>
      </w:pPr>
      <w:r>
        <w:rPr>
          <w:rFonts w:ascii="Times New Roman" w:hAnsi="Times New Roman"/>
          <w:b/>
          <w:i w:val="0"/>
          <w:sz w:val="22"/>
        </w:rPr>
        <w:t>Tên ứng dụng: Sổ Tay Quản Lý Chi Tiêu Sinh Viên AI 🎓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Nhóm 02 - CNTT K23K</w:t>
        <w:br/>
        <w:t>1. Nguyễn Tuấn Đạt (Trưởng nhóm)</w:t>
        <w:br/>
        <w:t>2. Phàn Ngọc Anh (Phó nhóm)</w:t>
        <w:br/>
        <w:t>Lớp: CNTT K23K - Khoa Công nghệ thông tin</w:t>
        <w:br/>
        <w:t>Trường Đại học Công nghệ thông tin và Truyền thông</w:t>
      </w:r>
    </w:p>
    <w:p>
      <w:pPr>
        <w:spacing w:before="240" w:after="120"/>
      </w:pPr>
      <w:r>
        <w:rPr>
          <w:rFonts w:ascii="Times New Roman" w:hAnsi="Times New Roman"/>
          <w:b/>
          <w:color w:val="1E293B"/>
          <w:sz w:val="26"/>
        </w:rPr>
        <w:t>1. Cấu Trúc Các Bảng Trong Cơ Sở Dữ Liệu SQLite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Tên Bảng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Tên Cột (Field)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Kiểu Dữ Liệu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Khóa / Ràng buộc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Mô tả nghiệp vụ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giao_dich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PRIMARY KEY AUTOINCREMENT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Mã định danh giao dịch thu chi.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giao_dich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loai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NOT NULL ('Thu'/'Chi')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Loại giao dịch: Thu nhập hoặc Chi tiêu.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giao_dich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so_tien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REAL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NOT NULL (&gt; 0)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Số tiền thực tế tính theo VNĐ.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giao_dich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danh_muc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NOT NULL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Danh mục chi tiêu sinh viên (9 danh mục).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giao_dich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ngay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NOT NULL (YYYY-MM-DD)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Ngày thực hiện giao dịch.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giao_dich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ghi_chu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NULLABLE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Ghi chú/Mô tả chi tiết khoản thu chi.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han_muc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danh_muc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PRIMARY KEY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Tên danh mục chi tiêu được đặt hạn mức.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han_muc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so_tien_limit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REAL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NOT NULL (&gt; 0)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Hạn mức chi tiêu tối đa trong tháng.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