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color w:val="0F172A"/>
          <w:sz w:val="32"/>
        </w:rPr>
        <w:t>INFORME GERENCIAL DE PRUEBAS DE SEGURIDAD (RESUMIDO)</w:t>
      </w:r>
    </w:p>
    <w:p>
      <w:pPr>
        <w:pStyle w:val="Normal"/>
        <w:spacing w:before="0" w:after="240"/>
        <w:rPr/>
      </w:pPr>
      <w:r>
        <w:rPr>
          <w:i/>
          <w:color w:val="64748B"/>
          <w:sz w:val="21"/>
        </w:rPr>
        <w:t>Sistema AJU</w:t>
      </w:r>
      <w:r>
        <w:rPr>
          <w:i/>
          <w:color w:val="64748B"/>
          <w:sz w:val="21"/>
        </w:rPr>
        <w:t>DAG</w:t>
      </w:r>
      <w:r>
        <w:rPr>
          <w:i/>
          <w:color w:val="64748B"/>
          <w:sz w:val="21"/>
        </w:rPr>
        <w:t xml:space="preserve"> v2.0 | Evaluación de Postura y Controles OWASP Top 10</w:t>
      </w:r>
    </w:p>
    <w:p>
      <w:pPr>
        <w:pStyle w:val="Normal"/>
        <w:spacing w:before="160" w:after="80"/>
        <w:rPr/>
      </w:pPr>
      <w:r>
        <w:rPr>
          <w:b/>
          <w:color w:val="EF4444"/>
          <w:sz w:val="24"/>
        </w:rPr>
        <w:t>1. Resumen Ejecutivo y Certificación de Postura</w:t>
      </w:r>
    </w:p>
    <w:p>
      <w:pPr>
        <w:pStyle w:val="Normal"/>
        <w:rPr/>
      </w:pPr>
      <w:r>
        <w:rPr/>
        <w:t>El presente informe audita la postura de seguridad de la aplicación AJU</w:t>
      </w:r>
      <w:r>
        <w:rPr/>
        <w:t>DAG</w:t>
      </w:r>
      <w:r>
        <w:rPr/>
        <w:t xml:space="preserve"> v2.0 mediante 15 controles de seguridad alineados con el estándar OWASP Top 10 (Control de Acceso, Inyección SQL/XSS, CSRF, Fuerza Bruta, Cifrado y RBAC). La postura global fue dictaminada como APTA sin vulnerabilidades críticas activas.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4a0" w:firstRow="1" w:noVBand="1" w:lastRow="0" w:firstColumn="1" w:lastColumn="0" w:noHBand="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  <w:sz w:val="32"/>
              </w:rPr>
              <w:t>15 / 15</w:t>
              <w:br/>
            </w:r>
            <w:r>
              <w:rPr>
                <w:b/>
                <w:sz w:val="18"/>
              </w:rPr>
              <w:t>Controles Evaluados</w:t>
              <w:br/>
            </w:r>
            <w:r>
              <w:rPr>
                <w:color w:val="64748B"/>
                <w:sz w:val="16"/>
              </w:rPr>
              <w:t>100% Superados</w:t>
            </w:r>
          </w:p>
        </w:tc>
        <w:tc>
          <w:tcPr>
            <w:tcW w:w="312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2563EB"/>
                <w:sz w:val="32"/>
              </w:rPr>
              <w:t>94</w:t>
              <w:br/>
            </w:r>
            <w:r>
              <w:rPr>
                <w:b/>
                <w:sz w:val="18"/>
              </w:rPr>
              <w:t>Aserciones de Seguridad</w:t>
              <w:br/>
            </w:r>
            <w:r>
              <w:rPr>
                <w:color w:val="64748B"/>
                <w:sz w:val="16"/>
              </w:rPr>
              <w:t>1.8s Ejecución</w:t>
            </w:r>
          </w:p>
        </w:tc>
        <w:tc>
          <w:tcPr>
            <w:tcW w:w="312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  <w:sz w:val="32"/>
              </w:rPr>
              <w:t>0</w:t>
              <w:br/>
            </w:r>
            <w:r>
              <w:rPr>
                <w:b/>
                <w:sz w:val="18"/>
              </w:rPr>
              <w:t>Vulnerabilidades Activas</w:t>
              <w:br/>
            </w:r>
            <w:r>
              <w:rPr>
                <w:color w:val="64748B"/>
                <w:sz w:val="16"/>
              </w:rPr>
              <w:t>Cero Críticos/Altos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59E0B"/>
                <w:sz w:val="32"/>
              </w:rPr>
              <w:t>1</w:t>
              <w:br/>
            </w:r>
            <w:r>
              <w:rPr>
                <w:b/>
                <w:sz w:val="18"/>
              </w:rPr>
              <w:t>Hallazgo Corregido</w:t>
              <w:br/>
            </w:r>
            <w:r>
              <w:rPr>
                <w:color w:val="64748B"/>
                <w:sz w:val="16"/>
              </w:rPr>
              <w:t>Manejo 500 a 404</w:t>
            </w:r>
          </w:p>
        </w:tc>
        <w:tc>
          <w:tcPr>
            <w:tcW w:w="312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EF4444"/>
                <w:sz w:val="32"/>
              </w:rPr>
              <w:t>6</w:t>
              <w:br/>
            </w:r>
            <w:r>
              <w:rPr>
                <w:b/>
                <w:sz w:val="18"/>
              </w:rPr>
              <w:t>Fallos Pre-existentes</w:t>
              <w:br/>
            </w:r>
            <w:r>
              <w:rPr>
                <w:color w:val="64748B"/>
                <w:sz w:val="16"/>
              </w:rPr>
              <w:t>Fuera de Alcance QA</w:t>
            </w:r>
          </w:p>
        </w:tc>
        <w:tc>
          <w:tcPr>
            <w:tcW w:w="312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  <w:sz w:val="32"/>
              </w:rPr>
              <w:t>APTA</w:t>
              <w:br/>
            </w:r>
            <w:r>
              <w:rPr>
                <w:b/>
                <w:sz w:val="18"/>
              </w:rPr>
              <w:t>Postura Global</w:t>
              <w:br/>
            </w:r>
            <w:r>
              <w:rPr>
                <w:color w:val="64748B"/>
                <w:sz w:val="16"/>
              </w:rPr>
              <w:t>Certificado para Prod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>
          <w:b/>
          <w:color w:val="EF4444"/>
          <w:sz w:val="24"/>
        </w:rPr>
        <w:t>2. Cobertura de Categorías OWASP Evaluadas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OWASP A01 - Broken Access Control: </w:t>
      </w:r>
      <w:r>
        <w:rPr/>
        <w:t>Verificación de rutas protegidas, RBAC para roles (Admin/Supervisor/Ejecutivo), bloqueo de usuarios sin rol y protección CSRF (HTTP 419).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OWASP A02 - Cryptographic Failures: </w:t>
      </w:r>
      <w:r>
        <w:rPr/>
        <w:t>Verificación de almacenamiento de passwords mediante Bcrypt ($2y$) e imposibilidad de exposición de hashes/datos sensibles en HTML.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OWASP A03 - Injection (SQLi &amp; XSS): </w:t>
      </w:r>
      <w:r>
        <w:rPr/>
        <w:t>Validación de login y búsquedas sanitizadas con Eloquent, y escape automático de scripts HTML vía Blade ({{ }}).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OWASP A04 &amp; A07 - Insecure Design &amp; Auth Failures: </w:t>
      </w:r>
      <w:r>
        <w:rPr/>
        <w:t>Protección contra Mass Assignment (campos is_admin/role blindados), contraseñas fuertes (mínimo 8) y Throttling contra Fuerza Bruta (HTTP 429 tras 5 intentos).</w:t>
      </w:r>
    </w:p>
    <w:p>
      <w:pPr>
        <w:pStyle w:val="Normal"/>
        <w:rPr/>
      </w:pPr>
      <w:r>
        <w:rPr>
          <w:b/>
          <w:color w:val="EF4444"/>
          <w:sz w:val="24"/>
        </w:rPr>
        <w:t>3. Hallazgo Principal de Seguridad Remediado</w:t>
      </w:r>
    </w:p>
    <w:p>
      <w:pPr>
        <w:pStyle w:val="Normal"/>
        <w:rPr/>
      </w:pPr>
      <w:r>
        <w:rPr>
          <w:b/>
        </w:rPr>
        <w:t>Remediación de Fuga de Información por Errores 500 (IDOR/Manejo Excepciones):</w:t>
        <w:br/>
      </w:r>
      <w:r>
        <w:rPr/>
        <w:t>Se detectó que 9 controladores CRUD usaban llamadas directas 'find($id)' en consultas de recursos inexistentes, retornando HTTP 500 con trazas del sistema. Se aplicó la remediación sustituyendo 27 invocaciones por 'findOrFail($id)', logrando un comportamiento seguro con código de respuesta HTTP 404 (Validado por la prueba SEC-013).</w:t>
      </w:r>
    </w:p>
    <w:p>
      <w:pPr>
        <w:pStyle w:val="Normal"/>
        <w:rPr/>
      </w:pPr>
      <w:r>
        <w:rPr>
          <w:b/>
          <w:color w:val="EF4444"/>
          <w:sz w:val="24"/>
        </w:rPr>
        <w:t>4. Recomendaciones Prioritarias</w:t>
      </w:r>
    </w:p>
    <w:p>
      <w:pPr>
        <w:pStyle w:val="Normal"/>
        <w:rPr/>
      </w:pPr>
      <w:r>
        <w:rPr/>
        <w:t xml:space="preserve">✔ </w:t>
      </w:r>
      <w:r>
        <w:rPr/>
        <w:t>Agregar encabezados de seguridad HTTP (CSP, X-Frame-Options, X-Content-Type-Options, HSTS) vía Middleware.</w:t>
      </w:r>
    </w:p>
    <w:p>
      <w:pPr>
        <w:pStyle w:val="Normal"/>
        <w:rPr/>
      </w:pPr>
      <w:r>
        <w:rPr/>
        <w:t xml:space="preserve">✔ </w:t>
      </w:r>
      <w:r>
        <w:rPr/>
        <w:t>Habilitar HTTPS estricto en producción y forzar redirección scheme.</w:t>
      </w:r>
    </w:p>
    <w:p>
      <w:pPr>
        <w:pStyle w:val="Normal"/>
        <w:rPr/>
      </w:pPr>
      <w:r>
        <w:rPr/>
        <w:t xml:space="preserve">✔ </w:t>
      </w:r>
      <w:r>
        <w:rPr/>
        <w:t>Asegurar el uso de findOrFail() en controladores secundarios como AsignarController.</w:t>
      </w:r>
    </w:p>
    <w:p>
      <w:pPr>
        <w:pStyle w:val="Normal"/>
        <w:rPr/>
      </w:pPr>
      <w:r>
        <w:rPr/>
        <w:t xml:space="preserve">✔ </w:t>
      </w:r>
      <w:r>
        <w:rPr/>
        <w:t>Corregir inconsistencias pre-existentes de la suite funcional (redirección de AuthController y DB Refresh en Blog).</w:t>
      </w:r>
    </w:p>
    <w:p>
      <w:pPr>
        <w:pStyle w:val="Normal"/>
        <w:rPr/>
      </w:pPr>
      <w:r>
        <w:rPr>
          <w:b/>
          <w:color w:val="EF4444"/>
          <w:sz w:val="24"/>
        </w:rPr>
        <w:t>5. Conclusión Gerencial</w:t>
      </w:r>
    </w:p>
    <w:p>
      <w:pPr>
        <w:pStyle w:val="Normal"/>
        <w:rPr/>
      </w:pPr>
      <w:r>
        <w:rPr/>
        <w:t>El sistema AJUPTELCBO v2.0 DEMUESTRA UNA POSTURA DE SEGURIDAD ROBUSTA Y APTA PARA PRODUCCIÓN. Se mitigaron los riesgos de inyección y fuga de información técnica, garantizando el cumplimiento de los controles mínimos requeridos.</w:t>
      </w:r>
    </w:p>
    <w:p>
      <w:pPr>
        <w:pStyle w:val="Normal"/>
        <w:spacing w:before="0" w:after="80"/>
        <w:jc w:val="end"/>
        <w:rPr/>
      </w:pPr>
      <w:r>
        <w:rPr>
          <w:i/>
          <w:color w:val="64748B"/>
          <w:sz w:val="17"/>
        </w:rPr>
        <w:t>Entorno: SQLite en Memoria | PHP 8.4 | Laravel 13 | PHPUnit 12.5</w:t>
        <w:br/>
        <w:t xml:space="preserve">Fecha de Certificación: </w:t>
      </w:r>
      <w:r>
        <w:rPr>
          <w:i/>
          <w:color w:val="64748B"/>
          <w:sz w:val="17"/>
        </w:rPr>
        <w:t>15</w:t>
      </w:r>
      <w:r>
        <w:rPr>
          <w:i/>
          <w:color w:val="64748B"/>
          <w:sz w:val="17"/>
        </w:rPr>
        <w:t xml:space="preserve"> de Julio de 2026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80"/>
      <w:jc w:val="start"/>
    </w:pPr>
    <w:rPr>
      <w:rFonts w:ascii="Arial" w:hAnsi="Arial" w:eastAsia="ＭＳ 明朝" w:cs=""/>
      <w:color w:val="1E293B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394</Words>
  <Characters>2332</Characters>
  <CharactersWithSpaces>2701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es-VE</dc:language>
  <cp:lastModifiedBy/>
  <dcterms:modified xsi:type="dcterms:W3CDTF">2026-08-29T23:01:20Z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