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93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843"/>
        <w:gridCol w:w="7551"/>
      </w:tblGrid>
      <w:tr>
        <w:trPr/>
        <w:tc>
          <w:tcPr>
            <w:tcW w:w="184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/>
                <w:kern w:val="0"/>
                <w:lang w:val="es-VE" w:eastAsia="es-VE" w:bidi="ar-SA"/>
              </w:rPr>
              <w:drawing>
                <wp:inline distT="0" distB="0" distL="0" distR="0">
                  <wp:extent cx="997585" cy="98806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988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República Bolivariana de Venezuela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Ministerio del Poder Popular para la Educación Universitaria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Universidad Nacional Experimental de las Telecomunicaciones e Informática (UNETI)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Trayecto IV: PNF en Informática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eastAsia="en-US"/>
        </w:rPr>
      </w:pPr>
      <w:r>
        <w:rPr>
          <w:rFonts w:cs="Arial" w:ascii="Arial" w:hAnsi="Arial"/>
          <w:sz w:val="24"/>
          <w:szCs w:val="24"/>
          <w:lang w:eastAsia="en-US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FASE 1: 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CASO DE NEGOCIO </w:t>
      </w:r>
      <w:bookmarkStart w:id="0" w:name="_Hlk228724390"/>
      <w:r>
        <w:rPr>
          <w:rFonts w:cs="Arial" w:ascii="Arial" w:hAnsi="Arial"/>
          <w:b/>
          <w:bCs/>
          <w:sz w:val="24"/>
          <w:szCs w:val="24"/>
        </w:rPr>
        <w:t xml:space="preserve">DEL SISTEMA DE INFORMACIÓN WEB RESPONSIVE 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PARA LA GESTIÓN DE DATOS DE AJUPTEL, REGIÓN CARABOBO.</w:t>
      </w:r>
      <w:bookmarkEnd w:id="0"/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bookmarkStart w:id="1" w:name="_Hlk198103452"/>
      <w:r>
        <w:rPr>
          <w:rFonts w:cs="Arial" w:ascii="Arial" w:hAnsi="Arial"/>
          <w:sz w:val="24"/>
          <w:szCs w:val="24"/>
        </w:rPr>
        <w:t>Autores: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Caraballo, Nattier – C.I.: 16.225.080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Cindia López C.I.: 13.019.951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Linares, Jorge – C.I.: 4.857.936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bookmarkStart w:id="2" w:name="_Hlk198103452"/>
      <w:r>
        <w:rPr>
          <w:rFonts w:cs="Arial" w:ascii="Arial" w:hAnsi="Arial"/>
          <w:sz w:val="24"/>
          <w:szCs w:val="24"/>
        </w:rPr>
        <w:t xml:space="preserve">Mujica, Luis – C.I.: 7.090.613 </w:t>
      </w:r>
      <w:bookmarkEnd w:id="2"/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Profesor: 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Prof. Dr. Luis Rivas Algueida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Sección: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S4y5-2026/1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Unidad curricular: 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PST IV Módulo 2</w:t>
      </w:r>
    </w:p>
    <w:p>
      <w:pPr>
        <w:pStyle w:val="Normal"/>
        <w:spacing w:lineRule="auto" w:line="24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Julio, 2026</w:t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INTRODUCCIÓN</w:t>
      </w:r>
    </w:p>
    <w:p>
      <w:pPr>
        <w:pStyle w:val="Normal"/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Un documento de Caso de negocio, es un escrito que justifica la inversión en un proyecto de software, demostrando que los beneficios estimados del proyecto, superan los riesgos y costos relacionados al mismo.</w:t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Este documento de Caso de negocio, del proyecto denominado: Sistema de Información Web Responsive para la Gestión de Datos de AJUPTEL, Región Carabobo, tiene el propósito de mostrar la relación Costo-riesgo-beneficio de este proyecto, para demostrar el alcance de este proyecto y de qué forma esta inversión en el desarrollo de este software, se justifica para traer un beneficio significativo a sus asociados.</w:t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  <w:r>
        <w:br w:type="page"/>
      </w:r>
    </w:p>
    <w:p>
      <w:pPr>
        <w:pStyle w:val="Normal"/>
        <w:spacing w:lineRule="auto" w:line="276" w:before="0" w:after="160"/>
        <w:jc w:val="center"/>
        <w:rPr>
          <w:rFonts w:ascii="Arial" w:hAnsi="Arial" w:cs="Arial"/>
          <w:b/>
          <w:bCs/>
          <w:lang w:val="es-ES"/>
        </w:rPr>
      </w:pPr>
      <w:r>
        <w:rPr>
          <w:rFonts w:cs="Arial" w:ascii="Arial" w:hAnsi="Arial"/>
          <w:b/>
          <w:bCs/>
          <w:lang w:val="es-ES"/>
        </w:rPr>
        <w:t>CASO DE NEGOCIO</w:t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bCs/>
          <w:lang w:val="es-ES"/>
        </w:rPr>
      </w:pPr>
      <w:r>
        <w:rPr>
          <w:rFonts w:cs="Arial" w:ascii="Arial" w:hAnsi="Arial"/>
          <w:b/>
          <w:bCs/>
          <w:lang w:val="es-ES"/>
        </w:rPr>
      </w:r>
    </w:p>
    <w:tbl>
      <w:tblPr>
        <w:tblStyle w:val="Tablaconcuadrcula"/>
        <w:tblW w:w="93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940"/>
        <w:gridCol w:w="5454"/>
      </w:tblGrid>
      <w:tr>
        <w:trPr/>
        <w:tc>
          <w:tcPr>
            <w:tcW w:w="394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Empresa</w:t>
            </w:r>
          </w:p>
        </w:tc>
        <w:tc>
          <w:tcPr>
            <w:tcW w:w="5454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eastAsia="Calibri" w:cs="Arial" w:ascii="Arial" w:hAnsi="Arial"/>
                <w:i/>
                <w:iCs/>
                <w:color w:themeColor="text1" w:val="000000"/>
                <w:kern w:val="0"/>
                <w:sz w:val="24"/>
                <w:szCs w:val="24"/>
                <w:lang w:val="es-ES" w:eastAsia="es-VE" w:bidi="ar-SA"/>
              </w:rPr>
              <w:t>Asociación Civil de Trabajadores de Telecomunicaciones Jubilados y Pensionados de Carabobo (AJUPTEL CARABOBO)</w:t>
            </w:r>
          </w:p>
        </w:tc>
      </w:tr>
      <w:tr>
        <w:trPr/>
        <w:tc>
          <w:tcPr>
            <w:tcW w:w="394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Nombre del proyecto</w:t>
            </w:r>
          </w:p>
        </w:tc>
        <w:tc>
          <w:tcPr>
            <w:tcW w:w="5454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i/>
                <w:iCs/>
                <w:kern w:val="0"/>
                <w:sz w:val="24"/>
                <w:szCs w:val="24"/>
                <w:lang w:val="es-ES" w:eastAsia="es-VE" w:bidi="ar-SA"/>
              </w:rPr>
              <w:t>"Sistema de Información Web Responsive para la Gestión de Datos de AJUPTEL, Región Carabobo."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 xml:space="preserve"> </w:t>
            </w:r>
          </w:p>
        </w:tc>
      </w:tr>
      <w:tr>
        <w:trPr/>
        <w:tc>
          <w:tcPr>
            <w:tcW w:w="394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Tipo de proyecto</w:t>
            </w:r>
          </w:p>
        </w:tc>
        <w:tc>
          <w:tcPr>
            <w:tcW w:w="5454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Desarrollo de Software a Medida (Aplicación Web Responsive + IA).</w:t>
            </w:r>
          </w:p>
        </w:tc>
      </w:tr>
      <w:tr>
        <w:trPr/>
        <w:tc>
          <w:tcPr>
            <w:tcW w:w="3940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Patrocinador</w:t>
            </w:r>
          </w:p>
        </w:tc>
        <w:tc>
          <w:tcPr>
            <w:tcW w:w="5454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Sr. Medardo Guerrero - Presidente de AJUPTEL CARABOBO.</w:t>
            </w:r>
          </w:p>
        </w:tc>
      </w:tr>
      <w:tr>
        <w:trPr/>
        <w:tc>
          <w:tcPr>
            <w:tcW w:w="9394" w:type="dxa"/>
            <w:gridSpan w:val="2"/>
            <w:tcBorders/>
            <w:shd w:color="auto" w:fill="002060" w:val="clea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Propósito / Justificación</w:t>
            </w:r>
          </w:p>
        </w:tc>
      </w:tr>
      <w:tr>
        <w:trPr/>
        <w:tc>
          <w:tcPr>
            <w:tcW w:w="9394" w:type="dxa"/>
            <w:gridSpan w:val="2"/>
            <w:tcBorders/>
          </w:tcPr>
          <w:p>
            <w:pPr>
              <w:pStyle w:val="Normal"/>
              <w:widowControl/>
              <w:spacing w:lineRule="auto" w:line="276" w:before="0" w:after="0"/>
              <w:ind w:firstLine="567"/>
              <w:jc w:val="both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ES" w:eastAsia="es-VE" w:bidi="ar-SA"/>
              </w:rPr>
              <w:t>La Asociación Civil de Trabajadores de Telecomunicaciones Jubilados y Pensionados de Carabobo (AJUPTEL CARABOBO) enfrenta actualmente una gestión de datos fragmentada, basada en procesos manuales con hojas de cálculo de Microsoft Excel, lo que limita su capacidad de atención y eficiencia. Esta realidad se manifiesta en: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76" w:before="0" w:after="0"/>
              <w:contextualSpacing/>
              <w:jc w:val="both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Ineficiencia operativa: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s-ES" w:eastAsia="es-VE" w:bidi="ar-SA"/>
              </w:rPr>
              <w:t xml:space="preserve"> Tiempos excesivos para ingresar, consultar, actualizar o imprimir datos de los más de 700 miembros (asociados, personal y voluntarios).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76" w:before="0" w:after="0"/>
              <w:contextualSpacing/>
              <w:jc w:val="both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 xml:space="preserve">Riesgo de seguridad: 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s-ES" w:eastAsia="es-VE" w:bidi="ar-SA"/>
              </w:rPr>
              <w:t>Exposición constante a pérdida de información, errores humanos, duplicidad de datos y posible filtración de información sensible de los agremiados (adultos mayores).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76" w:before="0" w:after="0"/>
              <w:contextualSpacing/>
              <w:jc w:val="both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Insatisfacción generalizada: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s-ES" w:eastAsia="es-VE" w:bidi="ar-SA"/>
              </w:rPr>
              <w:t xml:space="preserve"> Quejas crecientes de los asociados por la lentitud en la respuesta a sus solicitudes y la falta de información oportuna.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76" w:before="0" w:after="0"/>
              <w:contextualSpacing/>
              <w:jc w:val="both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Limitaciones de crecimiento: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s-ES" w:eastAsia="es-VE" w:bidi="ar-SA"/>
              </w:rPr>
              <w:t xml:space="preserve"> Incapacidad para prestar servicios de vanguardia o mejorar la comunicación con los agremiados debido a la precariedad tecnológica.</w:t>
            </w:r>
          </w:p>
          <w:p>
            <w:pPr>
              <w:pStyle w:val="Normal"/>
              <w:widowControl/>
              <w:spacing w:lineRule="auto" w:line="276" w:before="0" w:after="0"/>
              <w:ind w:firstLine="567"/>
              <w:jc w:val="both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</w:r>
          </w:p>
          <w:p>
            <w:pPr>
              <w:pStyle w:val="Normal"/>
              <w:widowControl/>
              <w:spacing w:lineRule="auto" w:line="276" w:before="0" w:after="0"/>
              <w:ind w:firstLine="567"/>
              <w:jc w:val="both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ES" w:eastAsia="es-VE" w:bidi="ar-SA"/>
              </w:rPr>
              <w:t xml:space="preserve">Este proyecto tiene el propósito de automatizar la gestión de datos de los asociados, mediante la implementación de un Sistema de Información moderno de gestión de datos, que centralizará, administrará y protegerá los datos de la asociación. Se justifica estratégicamente, ya que una gestión de datos eficiente, reduce los tiempos de espera, facilita la generación de reportes que contribuyen a la toma de decisiones y consecuentemente, para sus asociados, se traduce en una atención más rápida, digna y de calidad. 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ES" w:eastAsia="es-VE" w:bidi="ar-SA"/>
              </w:rPr>
              <w:t>Este proyecto es una necesidad imperiosa para la supervivencia y relevancia de AJUPTEL en un mundo cada vez más digitalizado, donde los adultos mayores no pueden quedar relegados de la tecnología.</w:t>
            </w:r>
          </w:p>
        </w:tc>
      </w:tr>
      <w:tr>
        <w:trPr/>
        <w:tc>
          <w:tcPr>
            <w:tcW w:w="9394" w:type="dxa"/>
            <w:gridSpan w:val="2"/>
            <w:tcBorders/>
            <w:shd w:color="auto" w:fill="002060" w:val="clea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Antecedentes</w:t>
            </w:r>
          </w:p>
        </w:tc>
      </w:tr>
      <w:tr>
        <w:trPr/>
        <w:tc>
          <w:tcPr>
            <w:tcW w:w="9394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ind w:firstLine="567"/>
              <w:jc w:val="both"/>
              <w:rPr>
                <w:rFonts w:ascii="Calibri" w:hAnsi="Calibri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La Asociación Civil de Trabajadores Jubilados y Pensionados de las Telecomunicaciones del Estado Carabobo (AJUPTEL-CARABOBO) fue fundada el 02 de junio de 1981. Desde entonces, ha operado con procesos manuales y sistemas desconectados para gestionar la información de sus agremiados.</w:t>
            </w:r>
          </w:p>
          <w:p>
            <w:pPr>
              <w:pStyle w:val="Normal"/>
              <w:widowControl/>
              <w:spacing w:lineRule="auto" w:line="240" w:before="0" w:after="0"/>
              <w:ind w:firstLine="567"/>
              <w:jc w:val="both"/>
              <w:rPr>
                <w:rFonts w:ascii="Calibri" w:hAnsi="Calibri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s-VE" w:eastAsia="es-VE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firstLine="567"/>
              <w:jc w:val="both"/>
              <w:rPr>
                <w:rFonts w:ascii="Calibri" w:hAnsi="Calibri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Actualmente, la asociación cuenta con una plataforma tecnológica compuesta por 5 computadoras (4 con Windows 7 y 1 con Windows 10) y una red de internet ABA CANTV. Sin embargo, carece de un servidor dedicado y de cualquier tipo de software de gestión de datos. Toda la información de los más de 600 asociados y 107 sobrevivientes se almacena en archivos de Microsoft Excel dispersos en diferentes equipos.</w:t>
            </w:r>
          </w:p>
          <w:p>
            <w:pPr>
              <w:pStyle w:val="Normal"/>
              <w:widowControl/>
              <w:spacing w:lineRule="auto" w:line="240" w:before="0" w:after="0"/>
              <w:ind w:firstLine="567"/>
              <w:jc w:val="both"/>
              <w:rPr>
                <w:rFonts w:ascii="Calibri" w:hAnsi="Calibri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s-VE" w:eastAsia="es-VE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Esta situación ha generado históricamente: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contextualSpacing/>
              <w:jc w:val="both"/>
              <w:rPr>
                <w:rFonts w:ascii="Calibri" w:hAnsi="Calibri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Dificultad para realizar consultas rápidas.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contextualSpacing/>
              <w:jc w:val="both"/>
              <w:rPr>
                <w:rFonts w:ascii="Calibri" w:hAnsi="Calibri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Errores frecuentes en la digitación y actualización de datos.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contextualSpacing/>
              <w:jc w:val="both"/>
              <w:rPr>
                <w:rFonts w:ascii="Calibri" w:hAnsi="Calibri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Pérdida de información sensible.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contextualSpacing/>
              <w:jc w:val="both"/>
              <w:rPr>
                <w:rFonts w:ascii="Calibri" w:hAnsi="Calibri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Incapacidad para generar reportes confiables para la toma de decisiones de la junta directiva.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contextualSpacing/>
              <w:jc w:val="both"/>
              <w:rPr>
                <w:rFonts w:ascii="Calibri" w:hAnsi="Calibri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Creciente descontento de los asociados por la lentitud y falta de transparencia en los procesos.</w:t>
            </w:r>
          </w:p>
          <w:p>
            <w:pPr>
              <w:pStyle w:val="Normal"/>
              <w:widowControl/>
              <w:spacing w:lineRule="auto" w:line="240" w:before="0" w:after="0"/>
              <w:ind w:firstLine="567"/>
              <w:jc w:val="both"/>
              <w:rPr>
                <w:rFonts w:ascii="Calibri" w:hAnsi="Calibri" w:eastAsia="Calibri" w:cs="Arial"/>
                <w:kern w:val="0"/>
                <w:sz w:val="22"/>
                <w:szCs w:val="22"/>
                <w:lang w:val="es-VE" w:eastAsia="es-VE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s-VE" w:eastAsia="es-VE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firstLine="567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La junta directiva actual, consciente de esta problemática pero limitada por un bajo presupuesto, ha buscado activamente apoyo para encontrar una solución tecnológica viable que no represente una carga económica insostenible.</w:t>
            </w:r>
          </w:p>
        </w:tc>
      </w:tr>
      <w:tr>
        <w:trPr/>
        <w:tc>
          <w:tcPr>
            <w:tcW w:w="9394" w:type="dxa"/>
            <w:gridSpan w:val="2"/>
            <w:tcBorders/>
            <w:shd w:color="auto" w:fill="002060" w:val="clea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Objetivos del negocio</w:t>
            </w:r>
          </w:p>
        </w:tc>
      </w:tr>
      <w:tr>
        <w:trPr/>
        <w:tc>
          <w:tcPr>
            <w:tcW w:w="9394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eastAsia="en-US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n-US" w:bidi="ar-SA"/>
              </w:rPr>
              <w:t>Desarrollar un sistema de información web responsive que permita:</w:t>
            </w:r>
          </w:p>
          <w:p>
            <w:pPr>
              <w:pStyle w:val="Normal"/>
              <w:widowControl/>
              <w:numPr>
                <w:ilvl w:val="0"/>
                <w:numId w:val="7"/>
              </w:numPr>
              <w:spacing w:lineRule="auto" w:line="240" w:before="0" w:after="0"/>
              <w:contextualSpacing/>
              <w:jc w:val="start"/>
              <w:rPr>
                <w:lang w:eastAsia="en-US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VE" w:eastAsia="en-US" w:bidi="ar-SA"/>
              </w:rPr>
              <w:t>Centralizar la información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 de todos los asociados, jubilados, sobrevivientes, familiares, voceros y proveedores en una única base de datos relacional (MySQL), eliminando la dispersión actual en hojas de Excel.</w:t>
            </w:r>
          </w:p>
          <w:p>
            <w:pPr>
              <w:pStyle w:val="Normal"/>
              <w:widowControl/>
              <w:numPr>
                <w:ilvl w:val="0"/>
                <w:numId w:val="7"/>
              </w:numPr>
              <w:spacing w:lineRule="auto" w:line="240" w:before="0" w:after="0"/>
              <w:contextualSpacing/>
              <w:jc w:val="start"/>
              <w:rPr>
                <w:lang w:eastAsia="en-US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VE" w:eastAsia="en-US" w:bidi="ar-SA"/>
              </w:rPr>
              <w:t>Automatizar los procesos de gestión de datos,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 implementando un CRUD completo (Crear, Leer, Actualizar, Eliminar) que sea fácil de usar para el personal administrativo.</w:t>
            </w:r>
          </w:p>
          <w:p>
            <w:pPr>
              <w:pStyle w:val="Normal"/>
              <w:widowControl/>
              <w:numPr>
                <w:ilvl w:val="0"/>
                <w:numId w:val="7"/>
              </w:numPr>
              <w:spacing w:lineRule="auto" w:line="240" w:before="0" w:after="0"/>
              <w:contextualSpacing/>
              <w:jc w:val="start"/>
              <w:rPr>
                <w:lang w:eastAsia="en-US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VE" w:eastAsia="en-US" w:bidi="ar-SA"/>
              </w:rPr>
              <w:t>Garantizar la seguridad de la información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 mediante un sistema de autenticación por roles (RBAC) que diferencie entre Supervisores, Ejecutivos, Operacionales y Asociados.</w:t>
            </w:r>
          </w:p>
          <w:p>
            <w:pPr>
              <w:pStyle w:val="Normal"/>
              <w:widowControl/>
              <w:numPr>
                <w:ilvl w:val="0"/>
                <w:numId w:val="7"/>
              </w:numPr>
              <w:spacing w:lineRule="auto" w:line="240" w:before="0" w:after="0"/>
              <w:contextualSpacing/>
              <w:jc w:val="start"/>
              <w:rPr>
                <w:lang w:eastAsia="en-US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VE" w:eastAsia="en-US" w:bidi="ar-SA"/>
              </w:rPr>
              <w:t>Mejorar la comunicación con los asociados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 a través de un sistema web responsive accesible desde un computador o un smartphone, que les permita consultar su información personal, recibir notificaciones y escanear/enviar documentos.</w:t>
            </w:r>
          </w:p>
          <w:p>
            <w:pPr>
              <w:pStyle w:val="Normal"/>
              <w:widowControl/>
              <w:numPr>
                <w:ilvl w:val="0"/>
                <w:numId w:val="7"/>
              </w:numPr>
              <w:spacing w:lineRule="auto" w:line="240" w:before="0" w:after="0"/>
              <w:contextualSpacing/>
              <w:jc w:val="start"/>
              <w:rPr>
                <w:lang w:eastAsia="en-US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VE" w:eastAsia="en-US" w:bidi="ar-SA"/>
              </w:rPr>
              <w:t xml:space="preserve">Facilitar la toma de decisiones 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n-US" w:bidi="ar-SA"/>
              </w:rPr>
              <w:t>mediante la generación de reportes y estadísticas en tiempo real sobre la composición y necesidades de la membresía.</w:t>
            </w:r>
          </w:p>
          <w:p>
            <w:pPr>
              <w:pStyle w:val="Normal"/>
              <w:widowControl/>
              <w:numPr>
                <w:ilvl w:val="0"/>
                <w:numId w:val="7"/>
              </w:numPr>
              <w:spacing w:lineRule="auto" w:line="240" w:before="0" w:after="0"/>
              <w:contextualSpacing/>
              <w:jc w:val="start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VE" w:eastAsia="en-US" w:bidi="ar-SA"/>
              </w:rPr>
              <w:t>Digitalizar los procesos documentales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n-US" w:bidi="ar-SA"/>
              </w:rPr>
              <w:t>, permitiendo la importación/exportación de datos desde Excel y PDF, así como el escaneo de documentos desde dispositivos móviles.</w:t>
            </w:r>
          </w:p>
        </w:tc>
      </w:tr>
    </w:tbl>
    <w:tbl>
      <w:tblPr>
        <w:tblStyle w:val="Tablaconcuadrcula"/>
        <w:tblW w:w="93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394"/>
      </w:tblGrid>
      <w:tr>
        <w:trPr/>
        <w:tc>
          <w:tcPr>
            <w:tcW w:w="9394" w:type="dxa"/>
            <w:tcBorders/>
            <w:shd w:color="auto" w:fill="002060" w:val="clea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Resultados esperados del proyecto / beneficios</w:t>
            </w:r>
          </w:p>
        </w:tc>
      </w:tr>
      <w:tr>
        <w:trPr/>
        <w:tc>
          <w:tcPr>
            <w:tcW w:w="9394" w:type="dxa"/>
            <w:tcBorders/>
          </w:tcPr>
          <w:p>
            <w:pPr>
              <w:pStyle w:val="Normal"/>
              <w:widowControl/>
              <w:pBdr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kern w:val="0"/>
                <w:sz w:val="24"/>
                <w:szCs w:val="24"/>
                <w:lang w:val="es-ES" w:eastAsia="es-VE" w:bidi="ar-SA"/>
              </w:rPr>
              <w:t>E</w:t>
            </w:r>
            <w:r>
              <w:rPr>
                <w:rFonts w:eastAsia="Arial" w:cs="Arial" w:ascii="Arial" w:hAnsi="Arial"/>
                <w:b/>
                <w:color w:val="000000"/>
                <w:kern w:val="0"/>
                <w:sz w:val="24"/>
                <w:szCs w:val="24"/>
                <w:lang w:val="es-VE" w:eastAsia="es-VE" w:bidi="ar-SA"/>
              </w:rPr>
              <w:t>ficien</w:t>
            </w: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val="es-VE" w:eastAsia="es-VE" w:bidi="ar-SA"/>
              </w:rPr>
              <w:t>cia operativa inmediata: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pBdr/>
              <w:spacing w:lineRule="auto" w:line="276" w:before="0" w:after="0"/>
              <w:contextualSpacing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Reducción del 70% en tiempo de gestión administrativa (consultas, registros, actualizaciones) mediante digitalización de procesos.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pBdr/>
              <w:spacing w:lineRule="auto" w:line="276" w:before="0" w:after="0"/>
              <w:contextualSpacing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Disminución de errores de registro del 15% actual a menos del 1% gracias a validaciones automatizadas y detección de duplicados.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pBdr/>
              <w:spacing w:lineRule="auto" w:line="276" w:before="0" w:after="0"/>
              <w:contextualSpacing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Optimización en la atención a los asociados, reduciendo los tiempos de espera en la sede.</w:t>
            </w:r>
          </w:p>
          <w:p>
            <w:pPr>
              <w:pStyle w:val="Normal"/>
              <w:widowControl/>
              <w:pBdr/>
              <w:spacing w:lineRule="auto" w:line="276" w:before="0" w:after="0"/>
              <w:jc w:val="start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val="es-VE" w:eastAsia="es-VE" w:bidi="ar-SA"/>
              </w:rPr>
              <w:t>Mejora en experiencia de usuario: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pBdr/>
              <w:spacing w:lineRule="auto" w:line="276" w:before="0" w:after="0"/>
              <w:contextualSpacing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Aumento en la satisfacción de los asociados (adultos mayores) al poder consultar su información de forma rápida y autónoma.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pBdr/>
              <w:spacing w:lineRule="auto" w:line="276" w:before="0" w:after="0"/>
              <w:contextualSpacing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Reducción en el tiempo de respuesta a solicitudes de servicios (salud, reclamos, documentos).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pBdr/>
              <w:spacing w:lineRule="auto" w:line="276" w:before="0" w:after="0"/>
              <w:contextualSpacing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Acceso 24/7 a información personal para asociados registrados.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pBdr/>
              <w:spacing w:lineRule="auto" w:line="276" w:before="0" w:after="0"/>
              <w:contextualSpacing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Inclusión digital efectiva de la tercera edad mediante interfaz intuitiva y agente conversacional.</w:t>
            </w:r>
          </w:p>
          <w:p>
            <w:pPr>
              <w:pStyle w:val="Normal"/>
              <w:widowControl/>
              <w:pBdr/>
              <w:spacing w:lineRule="auto" w:line="276" w:before="0" w:after="0"/>
              <w:jc w:val="start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val="es-VE" w:eastAsia="es-VE" w:bidi="ar-SA"/>
              </w:rPr>
              <w:t>Gestión de recursos mejorada:</w:t>
            </w:r>
          </w:p>
          <w:p>
            <w:pPr>
              <w:pStyle w:val="Normal"/>
              <w:widowControl/>
              <w:numPr>
                <w:ilvl w:val="0"/>
                <w:numId w:val="4"/>
              </w:numPr>
              <w:pBdr/>
              <w:spacing w:lineRule="auto" w:line="276" w:before="0" w:after="0"/>
              <w:contextualSpacing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Control preciso del 100% de los datos de asociados con historial de modificaciones y bitácora de accesos.</w:t>
            </w:r>
          </w:p>
          <w:p>
            <w:pPr>
              <w:pStyle w:val="Normal"/>
              <w:widowControl/>
              <w:numPr>
                <w:ilvl w:val="0"/>
                <w:numId w:val="4"/>
              </w:numPr>
              <w:pBdr/>
              <w:spacing w:lineRule="auto" w:line="276" w:before="0" w:after="0"/>
              <w:contextualSpacing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Reducción en el tiempo de trámites documentales mediante escaneo y envío digital.</w:t>
            </w:r>
          </w:p>
          <w:p>
            <w:pPr>
              <w:pStyle w:val="Normal"/>
              <w:widowControl/>
              <w:numPr>
                <w:ilvl w:val="0"/>
                <w:numId w:val="4"/>
              </w:numPr>
              <w:pBdr/>
              <w:spacing w:lineRule="auto" w:line="276" w:before="0" w:after="0"/>
              <w:contextualSpacing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Seguimiento del 100% de documentos enviados con bandeja digital por asociado.</w:t>
            </w:r>
          </w:p>
          <w:p>
            <w:pPr>
              <w:pStyle w:val="Normal"/>
              <w:widowControl/>
              <w:pBdr/>
              <w:spacing w:lineRule="auto" w:line="276" w:before="0" w:after="0"/>
              <w:jc w:val="start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kern w:val="0"/>
                <w:sz w:val="24"/>
                <w:szCs w:val="24"/>
                <w:lang w:val="es-VE" w:eastAsia="es-VE" w:bidi="ar-SA"/>
              </w:rPr>
              <w:t>Capacidad operativa incrementada: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pBdr/>
              <w:spacing w:lineRule="auto" w:line="276" w:before="0" w:after="0"/>
              <w:contextualSpacing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Posibilidad de manejar hasta 1,000 asociados sin ampliar el personal administrativo.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pBdr/>
              <w:spacing w:lineRule="auto" w:line="276" w:before="0" w:after="0"/>
              <w:contextualSpacing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Reducción en tiempo de generación de reportes de días a minutos.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pBdr/>
              <w:spacing w:lineRule="auto" w:line="276" w:before="0" w:after="0"/>
              <w:contextualSpacing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Disponibilidad inmediata de información para la Junta Directiva y CANTV.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</w:r>
          </w:p>
        </w:tc>
      </w:tr>
      <w:tr>
        <w:trPr/>
        <w:tc>
          <w:tcPr>
            <w:tcW w:w="9394" w:type="dxa"/>
            <w:tcBorders/>
            <w:shd w:color="auto" w:fill="002060" w:val="clea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Análisis FODA</w:t>
            </w:r>
          </w:p>
        </w:tc>
      </w:tr>
      <w:tr>
        <w:trPr/>
        <w:tc>
          <w:tcPr>
            <w:tcW w:w="93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Contexto Interno: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es-VE" w:eastAsia="es-VE" w:bidi="ar-SA"/>
              </w:rPr>
              <w:t>FORTALEZAS (Internas</w:t>
            </w: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 xml:space="preserve"> / Positivo</w:t>
            </w: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es-VE" w:eastAsia="es-VE" w:bidi="ar-SA"/>
              </w:rPr>
              <w:t>)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contextualSpacing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Junta directiva comprometida con la mejora de la calidad del servicio.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contextualSpacing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Personal con conocimiento básico de herramientas ofimáticas, dispuesto a aprender.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contextualSpacing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Existencia de un departamento de tecnología (liderado por el Ing. Gabriel Falcón) que puede dar soporte futuro.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contextualSpacing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Infraestructura de hardware básica pero funcional (5 equipos, red interna, internet).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contextualSpacing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Voluntariado activo (7 damas y aliados) que apoya en labores sociales.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VE" w:eastAsia="es-VE" w:bidi="ar-SA"/>
              </w:rPr>
              <w:t>DEBILIDADES (Internas</w:t>
            </w: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 xml:space="preserve"> / Negativo</w:t>
            </w: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VE" w:eastAsia="es-VE" w:bidi="ar-SA"/>
              </w:rPr>
              <w:t>)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contextualSpacing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Procesos administrativos manuales y obsoletos (basados en Excel).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contextualSpacing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Falta de un sistema unificado de información y base de datos centralizada.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contextualSpacing/>
              <w:jc w:val="star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Resistencia natural al cambio por parte de algunos empleados y asociados mayores.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contextualSpacing/>
              <w:jc w:val="star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Equipos de cómputo obsoletos (Windows 7) que podrían limitar el rendimiento de software moderno.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contextualSpacing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 xml:space="preserve">Ausencia de un servidor dedicado y políticas de mantenimiento de hardware/software.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Contexto Externo: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VE" w:eastAsia="es-VE" w:bidi="ar-SA"/>
              </w:rPr>
              <w:t>OPORTUNIDADES (Externas</w:t>
            </w: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 xml:space="preserve"> / Positivo</w:t>
            </w: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VE" w:eastAsia="es-VE" w:bidi="ar-SA"/>
              </w:rPr>
              <w:t xml:space="preserve">) 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Creciente disponibilidad de tecnologías cloud de bajo costo (VPS, hosting).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Existencia de programas de financiamiento o apoyo tecnológico para asociaciones sin fines de lucro.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Alianzas con universidades (como la UNETI) para proyectos socio-tecnológicos.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Posibilidad de replicar el sistema en otras 23 asociaciones de AJUPTEL a nivel nacional.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Tendencia global a la digitalización de servicios para la tercera edad.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eastAsia="Calibri" w:cs="Arial" w:ascii="Arial" w:hAnsi="Arial"/>
                <w:kern w:val="0"/>
                <w:sz w:val="28"/>
                <w:szCs w:val="28"/>
                <w:lang w:val="es-VE" w:eastAsia="es-VE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VE" w:eastAsia="es-VE" w:bidi="ar-SA"/>
              </w:rPr>
              <w:t>AMENAZAS (Externas</w:t>
            </w: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 xml:space="preserve"> / Negativo</w:t>
            </w: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VE" w:eastAsia="es-VE" w:bidi="ar-SA"/>
              </w:rPr>
              <w:t>)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Situación económica del país que podría afectar la disponibilidad de recursos para renovar hardware.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Cambios en las políticas de CANTV o en la contratación colectiva que afecten a los jubilados.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Inestabilidad en los servicios públicos (electricidad, internet) que afecten la disponibilidad del sistema.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Competencia de otras asociaciones que ya hayan implementado soluciones tecnológicas.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Riesgos de ciberseguridad si el sistema no se implementa con los debidos protocolos.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s-ES" w:eastAsia="es-VE" w:bidi="ar-SA"/>
              </w:rPr>
            </w:r>
          </w:p>
        </w:tc>
      </w:tr>
      <w:tr>
        <w:trPr/>
        <w:tc>
          <w:tcPr>
            <w:tcW w:w="9394" w:type="dxa"/>
            <w:tcBorders/>
            <w:shd w:color="auto" w:fill="002060" w:val="clea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Riesgos identificados</w:t>
            </w:r>
          </w:p>
        </w:tc>
      </w:tr>
    </w:tbl>
    <w:tbl>
      <w:tblPr>
        <w:tblStyle w:val="Tablaconcuadrcula211"/>
        <w:tblW w:w="93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982"/>
        <w:gridCol w:w="1670"/>
        <w:gridCol w:w="1441"/>
        <w:gridCol w:w="3301"/>
      </w:tblGrid>
      <w:tr>
        <w:trPr/>
        <w:tc>
          <w:tcPr>
            <w:tcW w:w="2982" w:type="dxa"/>
            <w:tcBorders/>
            <w:shd w:color="auto" w:fill="002060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24"/>
                <w:szCs w:val="24"/>
                <w:lang w:val="es-VE" w:eastAsia="en-US" w:bidi="ar-SA"/>
              </w:rPr>
              <w:t>Riesgo</w:t>
            </w:r>
          </w:p>
        </w:tc>
        <w:tc>
          <w:tcPr>
            <w:tcW w:w="1670" w:type="dxa"/>
            <w:tcBorders/>
            <w:shd w:color="auto" w:fill="002060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VE" w:eastAsia="en-US" w:bidi="ar-SA"/>
              </w:rPr>
              <w:t>Probabilidad</w:t>
            </w:r>
          </w:p>
        </w:tc>
        <w:tc>
          <w:tcPr>
            <w:tcW w:w="1441" w:type="dxa"/>
            <w:tcBorders/>
            <w:shd w:color="auto" w:fill="002060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VE" w:eastAsia="en-US" w:bidi="ar-SA"/>
              </w:rPr>
              <w:t>Impacto</w:t>
            </w:r>
          </w:p>
        </w:tc>
        <w:tc>
          <w:tcPr>
            <w:tcW w:w="3301" w:type="dxa"/>
            <w:tcBorders/>
            <w:shd w:color="auto" w:fill="002060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Calibri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VE" w:eastAsia="en-US" w:bidi="ar-SA"/>
              </w:rPr>
              <w:t>Mitigación</w:t>
            </w:r>
          </w:p>
        </w:tc>
      </w:tr>
      <w:tr>
        <w:trPr/>
        <w:tc>
          <w:tcPr>
            <w:tcW w:w="2982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VE" w:eastAsia="en-US" w:bidi="ar-SA"/>
              </w:rPr>
              <w:t>Resistencia al cambio del personal administrativo y asociados.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>Alta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>Alto</w:t>
            </w:r>
          </w:p>
        </w:tc>
        <w:tc>
          <w:tcPr>
            <w:tcW w:w="330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Campañas de concientización sobre beneficios. 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>Involucrar a usuarios en pruebas (Sprint Review).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>Capacitaciones personalizadas y manuales gráficos.</w:t>
            </w:r>
          </w:p>
        </w:tc>
      </w:tr>
      <w:tr>
        <w:trPr/>
        <w:tc>
          <w:tcPr>
            <w:tcW w:w="2982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VE" w:eastAsia="en-US" w:bidi="ar-SA"/>
              </w:rPr>
              <w:t>Complejidad en la migración de datos históricos desde Excel.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>Alta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>Alto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</w:r>
          </w:p>
        </w:tc>
        <w:tc>
          <w:tcPr>
            <w:tcW w:w="330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Desarrollar módulo robusto de importación masiva (RF-08) con validaciones. 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Limpieza previa de datos. 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>Pruebas piloto con subconjunto de datos.</w:t>
            </w:r>
          </w:p>
        </w:tc>
      </w:tr>
      <w:tr>
        <w:trPr/>
        <w:tc>
          <w:tcPr>
            <w:tcW w:w="2982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VE" w:eastAsia="en-US" w:bidi="ar-SA"/>
              </w:rPr>
              <w:t>Sobreestimación de la capacidad del equipo de desarrollo.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>Media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>Medio</w:t>
            </w:r>
          </w:p>
        </w:tc>
        <w:tc>
          <w:tcPr>
            <w:tcW w:w="330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Uso de SCRUM para visibilidad del progreso real. 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Priorización de backlog (MVP). 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>Comunicación constante con Product Owner.</w:t>
            </w:r>
          </w:p>
        </w:tc>
      </w:tr>
      <w:tr>
        <w:trPr/>
        <w:tc>
          <w:tcPr>
            <w:tcW w:w="2982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VE" w:eastAsia="en-US" w:bidi="ar-SA"/>
              </w:rPr>
              <w:t>Cambios en los requisitos durante el desarrollo.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>Media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>Medio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</w:r>
          </w:p>
        </w:tc>
        <w:tc>
          <w:tcPr>
            <w:tcW w:w="330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SCRUM diseñado para aceptar cambios. 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>Documentar y priorizar nuevos requisitos en backlog para sprints futuros.</w:t>
            </w:r>
          </w:p>
        </w:tc>
      </w:tr>
      <w:tr>
        <w:trPr/>
        <w:tc>
          <w:tcPr>
            <w:tcW w:w="2982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VE" w:eastAsia="en-US" w:bidi="ar-SA"/>
              </w:rPr>
              <w:t>Problemas técnicos con las tecnologías seleccionadas (Node.js, NestJS, Angular, Ionic).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n-US" w:bidi="ar-SA"/>
              </w:rPr>
              <w:t>Bajo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n-US" w:bidi="ar-SA"/>
              </w:rPr>
              <w:t>Medio</w:t>
            </w:r>
          </w:p>
        </w:tc>
        <w:tc>
          <w:tcPr>
            <w:tcW w:w="330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Equipo de desarrollo tiene experiencia en el stack elegido. 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Sprint 0 de investigación y configuración. 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>Uso de Docker para entornos consistentes.</w:t>
            </w:r>
          </w:p>
        </w:tc>
      </w:tr>
      <w:tr>
        <w:trPr>
          <w:trHeight w:val="253" w:hRule="atLeast"/>
        </w:trPr>
        <w:tc>
          <w:tcPr>
            <w:tcW w:w="2982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VE" w:eastAsia="en-US" w:bidi="ar-SA"/>
              </w:rPr>
              <w:t>Disponibilidad de servicios públicos (electricidad/internet).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n-US" w:bidi="ar-SA"/>
              </w:rPr>
              <w:t>Medio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n-US" w:bidi="ar-SA"/>
              </w:rPr>
              <w:t>Medio</w:t>
            </w:r>
          </w:p>
        </w:tc>
        <w:tc>
          <w:tcPr>
            <w:tcW w:w="3301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Implementar funcionalidades offline limitadas (PWA). 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>Recomendar UPS y planes de contingencia.</w:t>
            </w:r>
          </w:p>
        </w:tc>
      </w:tr>
      <w:tr>
        <w:trPr/>
        <w:tc>
          <w:tcPr>
            <w:tcW w:w="2982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VE" w:eastAsia="en-US" w:bidi="ar-SA"/>
              </w:rPr>
              <w:t>Costo del VPS superior al presupuestado.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n-US" w:bidi="ar-SA"/>
              </w:rPr>
              <w:t>Bajo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n-US" w:bidi="ar-SA"/>
              </w:rPr>
              <w:t>Bajo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Costo de VPS básico asequible (~$10-15/mes). 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Calibri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n-US" w:bidi="ar-SA"/>
              </w:rPr>
              <w:t>Evaluar opciones de hosting nacional.</w:t>
            </w:r>
          </w:p>
        </w:tc>
      </w:tr>
    </w:tbl>
    <w:tbl>
      <w:tblPr>
        <w:tblStyle w:val="Tablaconcuadrcula"/>
        <w:tblW w:w="93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303"/>
        <w:gridCol w:w="1394"/>
        <w:gridCol w:w="688"/>
        <w:gridCol w:w="2005"/>
        <w:gridCol w:w="2004"/>
      </w:tblGrid>
      <w:tr>
        <w:trPr/>
        <w:tc>
          <w:tcPr>
            <w:tcW w:w="9394" w:type="dxa"/>
            <w:gridSpan w:val="5"/>
            <w:tcBorders/>
            <w:shd w:color="auto" w:fill="002060" w:val="clea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Estimaciones de tiempo, Esfuerzo y costo</w:t>
            </w:r>
          </w:p>
        </w:tc>
      </w:tr>
      <w:tr>
        <w:trPr>
          <w:trHeight w:val="531" w:hRule="atLeast"/>
        </w:trPr>
        <w:tc>
          <w:tcPr>
            <w:tcW w:w="330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SERVICIOS PROFESIONALES</w:t>
            </w:r>
          </w:p>
        </w:tc>
        <w:tc>
          <w:tcPr>
            <w:tcW w:w="2082" w:type="dxa"/>
            <w:gridSpan w:val="2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HORAS TRABAJO</w:t>
            </w:r>
          </w:p>
        </w:tc>
        <w:tc>
          <w:tcPr>
            <w:tcW w:w="200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PRECIO UNITARIO</w:t>
            </w:r>
          </w:p>
        </w:tc>
        <w:tc>
          <w:tcPr>
            <w:tcW w:w="2004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SUBTOTALES</w:t>
            </w:r>
          </w:p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</w:r>
          </w:p>
        </w:tc>
      </w:tr>
      <w:tr>
        <w:trPr/>
        <w:tc>
          <w:tcPr>
            <w:tcW w:w="3303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n-US" w:eastAsia="es-VE" w:bidi="ar-SA"/>
              </w:rPr>
              <w:t>Product Owner</w:t>
            </w:r>
          </w:p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US" w:eastAsia="es-VE" w:bidi="ar-SA"/>
              </w:rPr>
              <w:t>TSU. Nattier Caraballo</w:t>
            </w:r>
          </w:p>
        </w:tc>
        <w:tc>
          <w:tcPr>
            <w:tcW w:w="2082" w:type="dxa"/>
            <w:gridSpan w:val="2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150 horas</w:t>
            </w:r>
          </w:p>
        </w:tc>
        <w:tc>
          <w:tcPr>
            <w:tcW w:w="2005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$20.00 /hora</w:t>
            </w:r>
          </w:p>
        </w:tc>
        <w:tc>
          <w:tcPr>
            <w:tcW w:w="2004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$3.000,00</w:t>
            </w:r>
          </w:p>
        </w:tc>
      </w:tr>
      <w:tr>
        <w:trPr/>
        <w:tc>
          <w:tcPr>
            <w:tcW w:w="3303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 xml:space="preserve">Scrum Master </w:t>
            </w:r>
          </w:p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TSU. Cindia López</w:t>
            </w:r>
          </w:p>
        </w:tc>
        <w:tc>
          <w:tcPr>
            <w:tcW w:w="2082" w:type="dxa"/>
            <w:gridSpan w:val="2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250 horas</w:t>
            </w:r>
          </w:p>
        </w:tc>
        <w:tc>
          <w:tcPr>
            <w:tcW w:w="2005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$25.00 /hora</w:t>
            </w:r>
          </w:p>
        </w:tc>
        <w:tc>
          <w:tcPr>
            <w:tcW w:w="2004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$6.250,00</w:t>
            </w:r>
          </w:p>
        </w:tc>
      </w:tr>
      <w:tr>
        <w:trPr/>
        <w:tc>
          <w:tcPr>
            <w:tcW w:w="3303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 xml:space="preserve">Desarrollador Full-Stack 1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TSU. Luis F. Mujica</w:t>
            </w:r>
          </w:p>
        </w:tc>
        <w:tc>
          <w:tcPr>
            <w:tcW w:w="2082" w:type="dxa"/>
            <w:gridSpan w:val="2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500 horas</w:t>
            </w:r>
          </w:p>
        </w:tc>
        <w:tc>
          <w:tcPr>
            <w:tcW w:w="2005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$15,00 /hora</w:t>
            </w:r>
          </w:p>
        </w:tc>
        <w:tc>
          <w:tcPr>
            <w:tcW w:w="2004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$7.500,00</w:t>
            </w:r>
          </w:p>
        </w:tc>
      </w:tr>
      <w:tr>
        <w:trPr/>
        <w:tc>
          <w:tcPr>
            <w:tcW w:w="3303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 xml:space="preserve">Desarrollador Full-Stack 2 </w:t>
            </w:r>
          </w:p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TSU. Jorge L. Linares</w:t>
            </w:r>
          </w:p>
        </w:tc>
        <w:tc>
          <w:tcPr>
            <w:tcW w:w="2082" w:type="dxa"/>
            <w:gridSpan w:val="2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500 horas</w:t>
            </w:r>
          </w:p>
        </w:tc>
        <w:tc>
          <w:tcPr>
            <w:tcW w:w="2005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$15,00 /hora</w:t>
            </w:r>
          </w:p>
        </w:tc>
        <w:tc>
          <w:tcPr>
            <w:tcW w:w="2004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$7,500.00</w:t>
            </w:r>
          </w:p>
        </w:tc>
      </w:tr>
      <w:tr>
        <w:trPr/>
        <w:tc>
          <w:tcPr>
            <w:tcW w:w="3303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Subtotal Servicios Profesionales</w:t>
            </w:r>
          </w:p>
        </w:tc>
        <w:tc>
          <w:tcPr>
            <w:tcW w:w="2082" w:type="dxa"/>
            <w:gridSpan w:val="2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1.400 horas</w:t>
            </w:r>
          </w:p>
        </w:tc>
        <w:tc>
          <w:tcPr>
            <w:tcW w:w="2005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</w:r>
          </w:p>
        </w:tc>
        <w:tc>
          <w:tcPr>
            <w:tcW w:w="2004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$24.250,00</w:t>
            </w:r>
          </w:p>
        </w:tc>
      </w:tr>
      <w:tr>
        <w:trPr>
          <w:trHeight w:val="860" w:hRule="atLeast"/>
        </w:trPr>
        <w:tc>
          <w:tcPr>
            <w:tcW w:w="330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SERVICIOS NO PROFESIONALES</w:t>
            </w:r>
          </w:p>
        </w:tc>
        <w:tc>
          <w:tcPr>
            <w:tcW w:w="2082" w:type="dxa"/>
            <w:gridSpan w:val="2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TIEMPO</w:t>
            </w:r>
          </w:p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(SEMANAS)</w:t>
            </w:r>
          </w:p>
        </w:tc>
        <w:tc>
          <w:tcPr>
            <w:tcW w:w="200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PRECIO UNITARIO</w:t>
            </w:r>
          </w:p>
        </w:tc>
        <w:tc>
          <w:tcPr>
            <w:tcW w:w="2004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s-VE" w:bidi="ar-SA"/>
              </w:rPr>
              <w:t>SUBTOTALES</w:t>
            </w:r>
          </w:p>
        </w:tc>
      </w:tr>
      <w:tr>
        <w:trPr/>
        <w:tc>
          <w:tcPr>
            <w:tcW w:w="9394" w:type="dxa"/>
            <w:gridSpan w:val="5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Servicios Básicos</w:t>
            </w:r>
          </w:p>
        </w:tc>
      </w:tr>
      <w:tr>
        <w:trPr/>
        <w:tc>
          <w:tcPr>
            <w:tcW w:w="3303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cs="Arial"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•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 xml:space="preserve">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Energía eléctrica / Internet (4 personas)</w:t>
            </w:r>
          </w:p>
        </w:tc>
        <w:tc>
          <w:tcPr>
            <w:tcW w:w="2082" w:type="dxa"/>
            <w:gridSpan w:val="2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16 semanas</w:t>
            </w:r>
          </w:p>
        </w:tc>
        <w:tc>
          <w:tcPr>
            <w:tcW w:w="2005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$25,00 /semana</w:t>
            </w:r>
          </w:p>
        </w:tc>
        <w:tc>
          <w:tcPr>
            <w:tcW w:w="2004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$1.600,00</w:t>
            </w:r>
          </w:p>
        </w:tc>
      </w:tr>
      <w:tr>
        <w:trPr/>
        <w:tc>
          <w:tcPr>
            <w:tcW w:w="3303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cs="Arial"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Plan de datos móviles (comunicación)</w:t>
            </w:r>
          </w:p>
        </w:tc>
        <w:tc>
          <w:tcPr>
            <w:tcW w:w="2082" w:type="dxa"/>
            <w:gridSpan w:val="2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16 semanas</w:t>
            </w:r>
          </w:p>
        </w:tc>
        <w:tc>
          <w:tcPr>
            <w:tcW w:w="2005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$10,00 /semana</w:t>
            </w:r>
          </w:p>
        </w:tc>
        <w:tc>
          <w:tcPr>
            <w:tcW w:w="2004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$640,00</w:t>
            </w:r>
          </w:p>
        </w:tc>
      </w:tr>
      <w:tr>
        <w:trPr/>
        <w:tc>
          <w:tcPr>
            <w:tcW w:w="9394" w:type="dxa"/>
            <w:gridSpan w:val="5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cs="Arial"/>
                <w:b/>
                <w:bCs/>
                <w:color w:themeColor="text1" w:val="000000"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color w:themeColor="text1" w:val="000000"/>
                <w:kern w:val="0"/>
                <w:sz w:val="24"/>
                <w:szCs w:val="24"/>
                <w:lang w:val="es-ES" w:eastAsia="es-VE" w:bidi="ar-SA"/>
              </w:rPr>
              <w:t>Infraestructura de Producción (Anualizado)</w:t>
            </w:r>
          </w:p>
        </w:tc>
      </w:tr>
      <w:tr>
        <w:trPr/>
        <w:tc>
          <w:tcPr>
            <w:tcW w:w="3303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cs="Arial"/>
                <w:color w:themeColor="text1" w:val="000000"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VPS (2 vCPU, 4GB RAM, 50GB SSD NVMe)</w:t>
            </w:r>
          </w:p>
        </w:tc>
        <w:tc>
          <w:tcPr>
            <w:tcW w:w="2082" w:type="dxa"/>
            <w:gridSpan w:val="2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color w:themeColor="text1" w:val="000000"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12 meses</w:t>
            </w:r>
          </w:p>
        </w:tc>
        <w:tc>
          <w:tcPr>
            <w:tcW w:w="2005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$15,00 /mes</w:t>
            </w:r>
          </w:p>
        </w:tc>
        <w:tc>
          <w:tcPr>
            <w:tcW w:w="2004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$180,00</w:t>
            </w:r>
          </w:p>
        </w:tc>
      </w:tr>
      <w:tr>
        <w:trPr/>
        <w:tc>
          <w:tcPr>
            <w:tcW w:w="3303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cs="Arial"/>
                <w:color w:themeColor="text1" w:val="000000"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Nombre de dominio (</w:t>
            </w: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.org.ve o .com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)</w:t>
            </w:r>
          </w:p>
        </w:tc>
        <w:tc>
          <w:tcPr>
            <w:tcW w:w="2082" w:type="dxa"/>
            <w:gridSpan w:val="2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color w:themeColor="text1" w:val="000000"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1 año</w:t>
            </w:r>
          </w:p>
        </w:tc>
        <w:tc>
          <w:tcPr>
            <w:tcW w:w="2005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$15,00 (único)</w:t>
            </w:r>
          </w:p>
        </w:tc>
        <w:tc>
          <w:tcPr>
            <w:tcW w:w="2004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$15,00</w:t>
            </w:r>
          </w:p>
        </w:tc>
      </w:tr>
      <w:tr>
        <w:trPr/>
        <w:tc>
          <w:tcPr>
            <w:tcW w:w="3303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cs="Arial"/>
                <w:color w:themeColor="text1" w:val="000000"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Certificado SSL (Let's Encrypt)</w:t>
            </w:r>
          </w:p>
        </w:tc>
        <w:tc>
          <w:tcPr>
            <w:tcW w:w="2082" w:type="dxa"/>
            <w:gridSpan w:val="2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color w:themeColor="text1" w:val="000000"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1 año</w:t>
            </w:r>
          </w:p>
        </w:tc>
        <w:tc>
          <w:tcPr>
            <w:tcW w:w="2005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$0,00</w:t>
            </w:r>
          </w:p>
        </w:tc>
        <w:tc>
          <w:tcPr>
            <w:tcW w:w="2004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$0,00</w:t>
            </w:r>
          </w:p>
        </w:tc>
      </w:tr>
      <w:tr>
        <w:trPr/>
        <w:tc>
          <w:tcPr>
            <w:tcW w:w="3303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cs="Arial"/>
                <w:color w:themeColor="text1" w:val="000000"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Almacenamiento Cloud (para documentos escaneados)</w:t>
            </w:r>
          </w:p>
        </w:tc>
        <w:tc>
          <w:tcPr>
            <w:tcW w:w="2082" w:type="dxa"/>
            <w:gridSpan w:val="2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color w:themeColor="text1" w:val="000000"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12 meses</w:t>
            </w:r>
          </w:p>
        </w:tc>
        <w:tc>
          <w:tcPr>
            <w:tcW w:w="2005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$5,00 /mes</w:t>
            </w:r>
          </w:p>
        </w:tc>
        <w:tc>
          <w:tcPr>
            <w:tcW w:w="2004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$60,00</w:t>
            </w:r>
          </w:p>
        </w:tc>
      </w:tr>
      <w:tr>
        <w:trPr/>
        <w:tc>
          <w:tcPr>
            <w:tcW w:w="9394" w:type="dxa"/>
            <w:gridSpan w:val="5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Servicios de Terceros</w:t>
            </w:r>
          </w:p>
        </w:tc>
      </w:tr>
      <w:tr>
        <w:trPr/>
        <w:tc>
          <w:tcPr>
            <w:tcW w:w="3303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cs="Arial"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Email transaccional (SendGrid/Mailgun - nivel gratuito)</w:t>
            </w:r>
          </w:p>
        </w:tc>
        <w:tc>
          <w:tcPr>
            <w:tcW w:w="2082" w:type="dxa"/>
            <w:gridSpan w:val="2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16 semanas</w:t>
            </w:r>
          </w:p>
        </w:tc>
        <w:tc>
          <w:tcPr>
            <w:tcW w:w="2005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$0,00</w:t>
            </w:r>
          </w:p>
        </w:tc>
        <w:tc>
          <w:tcPr>
            <w:tcW w:w="2004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$0,00</w:t>
            </w:r>
          </w:p>
        </w:tc>
      </w:tr>
      <w:tr>
        <w:trPr/>
        <w:tc>
          <w:tcPr>
            <w:tcW w:w="3303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cs="Arial"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Dialogflow ES (agente conversacional - nivel gratuito)</w:t>
            </w:r>
          </w:p>
        </w:tc>
        <w:tc>
          <w:tcPr>
            <w:tcW w:w="2082" w:type="dxa"/>
            <w:gridSpan w:val="2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16 semanas</w:t>
            </w:r>
          </w:p>
        </w:tc>
        <w:tc>
          <w:tcPr>
            <w:tcW w:w="2005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$0,00</w:t>
            </w:r>
          </w:p>
        </w:tc>
        <w:tc>
          <w:tcPr>
            <w:tcW w:w="2004" w:type="dxa"/>
            <w:tcBorders/>
            <w:shd w:color="FFFFFF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$0,00</w:t>
            </w:r>
          </w:p>
        </w:tc>
      </w:tr>
      <w:tr>
        <w:trPr/>
        <w:tc>
          <w:tcPr>
            <w:tcW w:w="9394" w:type="dxa"/>
            <w:gridSpan w:val="5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Materiales y suministros</w:t>
            </w:r>
          </w:p>
        </w:tc>
      </w:tr>
      <w:tr>
        <w:trPr/>
        <w:tc>
          <w:tcPr>
            <w:tcW w:w="330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cs="Arial"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 xml:space="preserve">•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Papelería, tinta, reuniones con stakeholders</w:t>
            </w:r>
          </w:p>
        </w:tc>
        <w:tc>
          <w:tcPr>
            <w:tcW w:w="2082" w:type="dxa"/>
            <w:gridSpan w:val="2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16 semanas</w:t>
            </w:r>
          </w:p>
        </w:tc>
        <w:tc>
          <w:tcPr>
            <w:tcW w:w="200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ES" w:eastAsia="es-VE" w:bidi="ar-SA"/>
              </w:rPr>
              <w:t>$20,00 /semana</w:t>
            </w:r>
          </w:p>
        </w:tc>
        <w:tc>
          <w:tcPr>
            <w:tcW w:w="2004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$320,00</w:t>
            </w:r>
          </w:p>
        </w:tc>
      </w:tr>
      <w:tr>
        <w:trPr/>
        <w:tc>
          <w:tcPr>
            <w:tcW w:w="9394" w:type="dxa"/>
            <w:gridSpan w:val="5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Capacitación</w:t>
            </w:r>
          </w:p>
        </w:tc>
      </w:tr>
      <w:tr>
        <w:trPr/>
        <w:tc>
          <w:tcPr>
            <w:tcW w:w="3303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 xml:space="preserve">• 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Talleres para personal administrativo y asociados</w:t>
            </w:r>
          </w:p>
        </w:tc>
        <w:tc>
          <w:tcPr>
            <w:tcW w:w="2082" w:type="dxa"/>
            <w:gridSpan w:val="2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ES" w:eastAsia="es-VE" w:bidi="ar-SA"/>
              </w:rPr>
              <w:t>2 talleres</w:t>
            </w:r>
          </w:p>
        </w:tc>
        <w:tc>
          <w:tcPr>
            <w:tcW w:w="200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ES" w:eastAsia="es-VE" w:bidi="ar-SA"/>
              </w:rPr>
              <w:t>$150.00 /taller</w:t>
            </w:r>
          </w:p>
        </w:tc>
        <w:tc>
          <w:tcPr>
            <w:tcW w:w="2004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$300,00</w:t>
            </w:r>
          </w:p>
        </w:tc>
      </w:tr>
      <w:tr>
        <w:trPr/>
        <w:tc>
          <w:tcPr>
            <w:tcW w:w="7390" w:type="dxa"/>
            <w:gridSpan w:val="4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Subtotal Servicios No Profesionales</w:t>
            </w:r>
          </w:p>
        </w:tc>
        <w:tc>
          <w:tcPr>
            <w:tcW w:w="2004" w:type="dxa"/>
            <w:tcBorders/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$3.115,00</w:t>
            </w:r>
          </w:p>
        </w:tc>
      </w:tr>
      <w:tr>
        <w:trPr/>
        <w:tc>
          <w:tcPr>
            <w:tcW w:w="9394" w:type="dxa"/>
            <w:gridSpan w:val="5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Total y Contingencias</w:t>
            </w:r>
          </w:p>
        </w:tc>
      </w:tr>
      <w:tr>
        <w:trPr>
          <w:trHeight w:val="63" w:hRule="atLeast"/>
        </w:trPr>
        <w:tc>
          <w:tcPr>
            <w:tcW w:w="4697" w:type="dxa"/>
            <w:gridSpan w:val="2"/>
            <w:tcBorders/>
            <w:shd w:color="FFFFFF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VE" w:eastAsia="es-VE" w:bidi="ar-SA"/>
              </w:rPr>
              <w:t>Concepto</w:t>
            </w:r>
          </w:p>
        </w:tc>
        <w:tc>
          <w:tcPr>
            <w:tcW w:w="4697" w:type="dxa"/>
            <w:gridSpan w:val="3"/>
            <w:tcBorders/>
            <w:shd w:color="FFFFFF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VE" w:eastAsia="es-VE" w:bidi="ar-SA"/>
              </w:rPr>
              <w:t>Monto (USD)</w:t>
            </w:r>
          </w:p>
        </w:tc>
      </w:tr>
      <w:tr>
        <w:trPr>
          <w:trHeight w:val="63" w:hRule="atLeast"/>
        </w:trPr>
        <w:tc>
          <w:tcPr>
            <w:tcW w:w="4697" w:type="dxa"/>
            <w:gridSpan w:val="2"/>
            <w:tcBorders/>
            <w:shd w:color="FFFFFF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Subtotal Servicios Profesionales</w:t>
            </w:r>
          </w:p>
        </w:tc>
        <w:tc>
          <w:tcPr>
            <w:tcW w:w="4697" w:type="dxa"/>
            <w:gridSpan w:val="3"/>
            <w:tcBorders/>
            <w:shd w:color="FFFFFF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$24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s-ES" w:eastAsia="es-VE" w:bidi="ar-SA"/>
              </w:rPr>
              <w:t>.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250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s-ES" w:eastAsia="es-VE" w:bidi="ar-SA"/>
              </w:rPr>
              <w:t>,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00</w:t>
            </w:r>
          </w:p>
        </w:tc>
      </w:tr>
      <w:tr>
        <w:trPr>
          <w:trHeight w:val="63" w:hRule="atLeast"/>
        </w:trPr>
        <w:tc>
          <w:tcPr>
            <w:tcW w:w="4697" w:type="dxa"/>
            <w:gridSpan w:val="2"/>
            <w:tcBorders/>
            <w:shd w:color="FFFFFF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Subtotal Servicios No Profesionales</w:t>
            </w:r>
          </w:p>
        </w:tc>
        <w:tc>
          <w:tcPr>
            <w:tcW w:w="4697" w:type="dxa"/>
            <w:gridSpan w:val="3"/>
            <w:tcBorders/>
            <w:shd w:color="FFFFFF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$3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s-ES" w:eastAsia="es-VE" w:bidi="ar-SA"/>
              </w:rPr>
              <w:t>.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115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s-ES" w:eastAsia="es-VE" w:bidi="ar-SA"/>
              </w:rPr>
              <w:t>,</w:t>
            </w: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00</w:t>
            </w:r>
          </w:p>
        </w:tc>
      </w:tr>
      <w:tr>
        <w:trPr>
          <w:trHeight w:val="63" w:hRule="atLeast"/>
        </w:trPr>
        <w:tc>
          <w:tcPr>
            <w:tcW w:w="4697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Total Costo neto del Proyecto</w:t>
            </w:r>
          </w:p>
        </w:tc>
        <w:tc>
          <w:tcPr>
            <w:tcW w:w="4697" w:type="dxa"/>
            <w:gridSpan w:val="3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$27.365,00</w:t>
            </w:r>
          </w:p>
        </w:tc>
      </w:tr>
      <w:tr>
        <w:trPr>
          <w:trHeight w:val="63" w:hRule="atLeast"/>
        </w:trPr>
        <w:tc>
          <w:tcPr>
            <w:tcW w:w="4697" w:type="dxa"/>
            <w:gridSpan w:val="2"/>
            <w:tcBorders/>
            <w:shd w:color="FFFFFF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Reserva de Contingencia (10%)</w:t>
            </w:r>
          </w:p>
        </w:tc>
        <w:tc>
          <w:tcPr>
            <w:tcW w:w="4697" w:type="dxa"/>
            <w:gridSpan w:val="3"/>
            <w:tcBorders/>
            <w:shd w:color="FFFFFF" w:fill="FFFFFF" w:themeFill="background1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s-VE" w:eastAsia="es-VE" w:bidi="ar-SA"/>
              </w:rPr>
              <w:t>$2,715.00</w:t>
            </w:r>
          </w:p>
        </w:tc>
      </w:tr>
      <w:tr>
        <w:trPr>
          <w:trHeight w:val="63" w:hRule="atLeast"/>
        </w:trPr>
        <w:tc>
          <w:tcPr>
            <w:tcW w:w="4697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Total Costo Estimado del Proyecto</w:t>
            </w:r>
          </w:p>
        </w:tc>
        <w:tc>
          <w:tcPr>
            <w:tcW w:w="4697" w:type="dxa"/>
            <w:gridSpan w:val="3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es-ES" w:eastAsia="es-VE" w:bidi="ar-SA"/>
              </w:rPr>
              <w:t>$30,080.00</w:t>
            </w:r>
            <w:bookmarkStart w:id="3" w:name="_Hlk228934438"/>
            <w:bookmarkEnd w:id="3"/>
          </w:p>
        </w:tc>
      </w:tr>
    </w:tbl>
    <w:p>
      <w:pPr>
        <w:pStyle w:val="Normal"/>
        <w:spacing w:lineRule="auto" w:line="276"/>
        <w:jc w:val="center"/>
        <w:rPr>
          <w:rFonts w:ascii="Arial" w:hAnsi="Arial" w:cs="Arial"/>
          <w:lang w:val="es-ES"/>
        </w:rPr>
      </w:pPr>
      <w:r>
        <w:rPr>
          <w:rFonts w:cs="Arial" w:ascii="Arial" w:hAnsi="Arial"/>
          <w:lang w:val="es-ES"/>
        </w:rPr>
      </w:r>
    </w:p>
    <w:p>
      <w:pPr>
        <w:pStyle w:val="Normal"/>
        <w:spacing w:lineRule="auto" w:line="276"/>
        <w:jc w:val="center"/>
        <w:rPr>
          <w:rFonts w:ascii="Arial" w:hAnsi="Arial" w:eastAsia="Calibri" w:cs="Arial"/>
          <w:sz w:val="24"/>
          <w:szCs w:val="24"/>
          <w:lang w:val="es-ES" w:eastAsia="en-US"/>
        </w:rPr>
      </w:pPr>
      <w:r>
        <w:rPr>
          <w:rFonts w:eastAsia="Calibri" w:cs="Arial" w:ascii="Arial" w:hAnsi="Arial"/>
          <w:sz w:val="24"/>
          <w:szCs w:val="24"/>
          <w:lang w:val="es-ES" w:eastAsia="en-US"/>
        </w:rPr>
        <w:t xml:space="preserve"> </w:t>
      </w:r>
    </w:p>
    <w:p>
      <w:pPr>
        <w:pStyle w:val="Normal"/>
        <w:spacing w:before="0" w:after="16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sectPr>
      <w:type w:val="nextPage"/>
      <w:pgSz w:w="12240" w:h="15840"/>
      <w:pgMar w:left="1418" w:right="1418" w:gutter="0" w:header="0" w:top="1418" w:footer="0" w:bottom="141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Bahnschrif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·"/>
      <w:lvlJc w:val="start"/>
      <w:pPr>
        <w:tabs>
          <w:tab w:val="num" w:pos="0"/>
        </w:tabs>
        <w:ind w:start="70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2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start"/>
      <w:pPr>
        <w:tabs>
          <w:tab w:val="num" w:pos="0"/>
        </w:tabs>
        <w:ind w:start="2149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start"/>
      <w:pPr>
        <w:tabs>
          <w:tab w:val="num" w:pos="0"/>
        </w:tabs>
        <w:ind w:start="286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58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start"/>
      <w:pPr>
        <w:tabs>
          <w:tab w:val="num" w:pos="0"/>
        </w:tabs>
        <w:ind w:start="4309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start"/>
      <w:pPr>
        <w:tabs>
          <w:tab w:val="num" w:pos="0"/>
        </w:tabs>
        <w:ind w:start="502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4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start"/>
      <w:pPr>
        <w:tabs>
          <w:tab w:val="num" w:pos="0"/>
        </w:tabs>
        <w:ind w:start="646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·"/>
      <w:lvlJc w:val="start"/>
      <w:pPr>
        <w:tabs>
          <w:tab w:val="num" w:pos="0"/>
        </w:tabs>
        <w:ind w:start="70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2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start"/>
      <w:pPr>
        <w:tabs>
          <w:tab w:val="num" w:pos="0"/>
        </w:tabs>
        <w:ind w:start="2149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start"/>
      <w:pPr>
        <w:tabs>
          <w:tab w:val="num" w:pos="0"/>
        </w:tabs>
        <w:ind w:start="286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58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start"/>
      <w:pPr>
        <w:tabs>
          <w:tab w:val="num" w:pos="0"/>
        </w:tabs>
        <w:ind w:start="4309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start"/>
      <w:pPr>
        <w:tabs>
          <w:tab w:val="num" w:pos="0"/>
        </w:tabs>
        <w:ind w:start="502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4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start"/>
      <w:pPr>
        <w:tabs>
          <w:tab w:val="num" w:pos="0"/>
        </w:tabs>
        <w:ind w:start="6469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·"/>
      <w:lvlJc w:val="start"/>
      <w:pPr>
        <w:tabs>
          <w:tab w:val="num" w:pos="0"/>
        </w:tabs>
        <w:ind w:start="70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2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start"/>
      <w:pPr>
        <w:tabs>
          <w:tab w:val="num" w:pos="0"/>
        </w:tabs>
        <w:ind w:start="2149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start"/>
      <w:pPr>
        <w:tabs>
          <w:tab w:val="num" w:pos="0"/>
        </w:tabs>
        <w:ind w:start="286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58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start"/>
      <w:pPr>
        <w:tabs>
          <w:tab w:val="num" w:pos="0"/>
        </w:tabs>
        <w:ind w:start="4309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start"/>
      <w:pPr>
        <w:tabs>
          <w:tab w:val="num" w:pos="0"/>
        </w:tabs>
        <w:ind w:start="502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4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start"/>
      <w:pPr>
        <w:tabs>
          <w:tab w:val="num" w:pos="0"/>
        </w:tabs>
        <w:ind w:start="646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·"/>
      <w:lvlJc w:val="start"/>
      <w:pPr>
        <w:tabs>
          <w:tab w:val="num" w:pos="0"/>
        </w:tabs>
        <w:ind w:start="70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2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start"/>
      <w:pPr>
        <w:tabs>
          <w:tab w:val="num" w:pos="0"/>
        </w:tabs>
        <w:ind w:start="2149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start"/>
      <w:pPr>
        <w:tabs>
          <w:tab w:val="num" w:pos="0"/>
        </w:tabs>
        <w:ind w:start="286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58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start"/>
      <w:pPr>
        <w:tabs>
          <w:tab w:val="num" w:pos="0"/>
        </w:tabs>
        <w:ind w:start="4309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start"/>
      <w:pPr>
        <w:tabs>
          <w:tab w:val="num" w:pos="0"/>
        </w:tabs>
        <w:ind w:start="502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4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start"/>
      <w:pPr>
        <w:tabs>
          <w:tab w:val="num" w:pos="0"/>
        </w:tabs>
        <w:ind w:start="6469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s-VE" w:eastAsia="es-V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s-VE" w:eastAsia="es-VE" w:bidi="ar-SA"/>
    </w:rPr>
  </w:style>
  <w:style w:type="paragraph" w:styleId="Heading1">
    <w:name w:val="heading 1"/>
    <w:basedOn w:val="Normal"/>
    <w:next w:val="Normal"/>
    <w:link w:val="Ttulo1Car"/>
    <w:uiPriority w:val="9"/>
    <w:qFormat/>
    <w:pPr>
      <w:keepNext w:val="true"/>
      <w:keepLines/>
      <w:spacing w:before="240" w:after="0"/>
      <w:outlineLvl w:val="0"/>
    </w:pPr>
    <w:rPr>
      <w:rFonts w:ascii="Calibri Light" w:hAnsi="Calibri Light" w:eastAsia="Arial" w:cs="Ari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2F5496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uiPriority w:val="30"/>
    <w:qFormat/>
    <w:rPr>
      <w:i/>
      <w:iCs/>
      <w:color w:themeColor="accent1" w:themeShade="bf" w:val="2F5496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FootnoteTextChar" w:customStyle="1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EndnoteTextChar" w:customStyle="1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Pr>
      <w:rFonts w:ascii="Arial" w:hAnsi="Arial" w:eastAsia="Arial" w:cs="Arial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qFormat/>
    <w:rPr>
      <w:rFonts w:ascii="Arial" w:hAnsi="Arial" w:eastAsia="Arial" w:cs="Arial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uiPriority w:val="9"/>
    <w:qFormat/>
    <w:rPr>
      <w:rFonts w:ascii="Arial" w:hAnsi="Arial" w:eastAsia="Arial" w:cs="Arial"/>
      <w:color w:themeColor="accent1" w:themeShade="bf" w:val="2F5496"/>
    </w:rPr>
  </w:style>
  <w:style w:type="character" w:styleId="Ttulo6Car" w:customStyle="1">
    <w:name w:val="Título 6 C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2F5496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EncabezadoCar" w:customStyle="1">
    <w:name w:val="Encabezado Car"/>
    <w:basedOn w:val="DefaultParagraphFont"/>
    <w:uiPriority w:val="99"/>
    <w:qFormat/>
    <w:rPr/>
  </w:style>
  <w:style w:type="character" w:styleId="PiedepginaCar" w:customStyle="1">
    <w:name w:val="Pie de página Car"/>
    <w:basedOn w:val="DefaultParagraphFont"/>
    <w:uiPriority w:val="99"/>
    <w:qFormat/>
    <w:rPr/>
  </w:style>
  <w:style w:type="character" w:styleId="TextonotapieCar" w:customStyle="1">
    <w:name w:val="Texto nota pie Car"/>
    <w:basedOn w:val="DefaultParagraphFont"/>
    <w:uiPriority w:val="99"/>
    <w:semiHidden/>
    <w:qFormat/>
    <w:rPr>
      <w:sz w:val="20"/>
      <w:szCs w:val="20"/>
    </w:rPr>
  </w:style>
  <w:style w:type="character" w:styleId="Caracteresdenotaalpie">
    <w:name w:val="Caracteres de nota al pie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alfinalCar" w:customStyle="1">
    <w:name w:val="Texto nota al final Car"/>
    <w:basedOn w:val="DefaultParagraphFont"/>
    <w:uiPriority w:val="99"/>
    <w:semiHidden/>
    <w:qFormat/>
    <w:rPr>
      <w:sz w:val="20"/>
      <w:szCs w:val="20"/>
    </w:rPr>
  </w:style>
  <w:style w:type="character" w:styleId="Caracteresdenotafinal">
    <w:name w:val="Caracteres de nota final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Ttulo1Car" w:customStyle="1">
    <w:name w:val="Título 1 Car"/>
    <w:basedOn w:val="DefaultParagraphFont"/>
    <w:uiPriority w:val="9"/>
    <w:qFormat/>
    <w:rPr>
      <w:rFonts w:ascii="Calibri Light" w:hAnsi="Calibri Light" w:eastAsia="Arial" w:cs="Ari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extoindependienteCar" w:customStyle="1">
    <w:name w:val="Texto independiente Car"/>
    <w:basedOn w:val="DefaultParagraphFont"/>
    <w:uiPriority w:val="1"/>
    <w:qFormat/>
    <w:rsid w:val="006d56e7"/>
    <w:rPr>
      <w:rFonts w:ascii="Bahnschrift" w:hAnsi="Bahnschrift" w:eastAsia="Bahnschrift" w:cs="Bahnschrift"/>
      <w:lang w:val="es-ES"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rsid w:val="006d56e7"/>
    <w:pPr>
      <w:widowControl w:val="false"/>
      <w:spacing w:lineRule="auto" w:line="240" w:before="0" w:after="0"/>
    </w:pPr>
    <w:rPr>
      <w:rFonts w:ascii="Bahnschrift" w:hAnsi="Bahnschrift" w:eastAsia="Bahnschrift" w:cs="Bahnschrift"/>
      <w:lang w:val="es-ES" w:eastAsia="en-US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Textonotapie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Textonotaalfinal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s-VE" w:eastAsia="es-VE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="0"/>
    </w:pPr>
    <w:rPr/>
  </w:style>
  <w:style w:type="paragraph" w:styleId="TableParagraph" w:customStyle="1">
    <w:name w:val="Table Paragraph"/>
    <w:basedOn w:val="Normal"/>
    <w:uiPriority w:val="1"/>
    <w:qFormat/>
    <w:rsid w:val="006d56e7"/>
    <w:pPr>
      <w:widowControl w:val="false"/>
      <w:spacing w:lineRule="auto" w:line="240" w:before="0" w:after="0"/>
    </w:pPr>
    <w:rPr>
      <w:rFonts w:ascii="Bahnschrift" w:hAnsi="Bahnschrift" w:eastAsia="Bahnschrift" w:cs="Bahnschrift"/>
      <w:lang w:val="es-ES" w:eastAsia="en-US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1ACDC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EC4E6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37DC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37DC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37DC8" w:themeColor="accent1" w:sz="4" w:space="0"/>
          <w:left w:val="single" w:color="537DC8" w:themeColor="accent1" w:sz="4" w:space="0"/>
          <w:bottom w:val="single" w:color="537DC8" w:themeColor="accent1" w:sz="4" w:space="0"/>
          <w:right w:val="single" w:color="537DC8" w:themeColor="accent1" w:sz="4" w:space="0"/>
        </w:tcBorders>
        <w:shd w:val="clear" w:color="537DC8" w:fill="537DC8" w:themeFill="accent1" w:themeFillTint="ea"/>
      </w:tcPr>
    </w:tblStylePr>
    <w:tblStylePr w:type="lastRow">
      <w:rPr>
        <w:b/>
      </w:rPr>
      <w:tblPr/>
      <w:tcPr>
        <w:tcBorders>
          <w:top w:val="single" w:color="537DC8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fill="5B9BD5" w:themeFill="accent5"/>
      </w:tcPr>
    </w:tblStylePr>
    <w:tblStylePr w:type="lastRow">
      <w:rPr>
        <w:b/>
      </w:rPr>
      <w:tblPr/>
      <w:tcPr>
        <w:tcBorders>
          <w:top w:val="single" w:color="5B9BD5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1"/>
      </w:tcPr>
    </w:tblStylePr>
    <w:tblStylePr w:type="firstCol">
      <w:rPr>
        <w:b/>
        <w:sz w:val="22"/>
      </w:rPr>
      <w:tblPr/>
      <w:tcPr>
        <w:shd w:val="clear" w:color="4472C4" w:fill="4472C4" w:themeFill="accent1"/>
      </w:tcPr>
    </w:tblStylePr>
    <w:tblStylePr w:type="lastCol">
      <w:rPr>
        <w:b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5"/>
      </w:tcPr>
    </w:tblStylePr>
    <w:tblStylePr w:type="firstCol">
      <w:rPr>
        <w:b/>
        <w:sz w:val="22"/>
      </w:rPr>
      <w:tblPr/>
      <w:tcPr>
        <w:shd w:val="clear" w:color="5B9BD5" w:fill="5B9BD5" w:themeFill="accent5"/>
      </w:tcPr>
    </w:tblStylePr>
    <w:tblStylePr w:type="lastCol">
      <w:rPr>
        <w:b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color="A0B7E1" w:themeColor="accent1" w:sz="12" w:space="0"/>
        </w:tcBorders>
      </w:tcPr>
    </w:tblStylePr>
    <w:tblStylePr w:type="lastRow">
      <w:rPr>
        <w:b/>
        <w:color w:val="a0b7e1" w:themeColor="accent1" w:themeTint="80" w:themeShade="95"/>
      </w:rPr>
      <w:tblPr/>
    </w:tblStylePr>
    <w:tblStylePr w:type="firstCol">
      <w:rPr>
        <w:b/>
        <w:color w:val="a0b7e1" w:themeColor="accent1" w:themeTint="80" w:themeShade="95"/>
      </w:rPr>
      <w:tblPr/>
    </w:tblStylePr>
    <w:tblStylePr w:type="lastCol">
      <w:rPr>
        <w:b/>
        <w:color w:val="a0b7e1" w:themeColor="accent1" w:themeTint="80" w:themeShade="95"/>
      </w:rPr>
      <w:tblPr/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val="f4b184" w:themeColor="accent2" w:themeTint="97" w:themeShade="95"/>
      </w:rPr>
      <w:tblPr/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 w:themeTint="fe" w:themeShade="95"/>
      </w:rPr>
      <w:tblPr/>
    </w:tblStylePr>
    <w:tblStylePr w:type="firstCol">
      <w:rPr>
        <w:b/>
        <w:color w:val="a5a5a5" w:themeColor="accent3" w:themeTint="fe" w:themeShade="95"/>
      </w:rPr>
      <w:tblPr/>
    </w:tblStylePr>
    <w:tblStylePr w:type="lastCol">
      <w:rPr>
        <w:b/>
        <w:color w:val="a5a5a5"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val="ffd865" w:themeColor="accent4" w:themeTint="9a" w:themeShade="95"/>
      </w:rPr>
      <w:tblPr/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0B7E1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color="A0B7E1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sz="4" w:space="0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single" w:color="A0B7E1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sz="4" w:space="0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color="000000" w:sz="4" w:space="0"/>
          <w:left w:val="single" w:color="A2C6E7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  <w:tblPr/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9BC2E5" w:themeColor="accent5" w:sz="4" w:space="0"/>
          <w:right w:val="single" w:color="9BC2E5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9BC2E5" w:themeColor="accent5" w:sz="4" w:space="0"/>
          <w:bottom w:val="single" w:color="9BC2E5" w:themeColor="accent5" w:sz="4" w:space="0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fill="4472C4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BC2E5" w:themeColor="accent5" w:sz="32" w:space="0"/>
          <w:bottom w:val="single" w:color="FFFFFF" w:themeColor="light1" w:sz="12" w:space="0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BC2E5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C2E5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5" w:themeColor="accent1" w:themeShade="95"/>
      </w:rPr>
      <w:tblPr/>
    </w:tblStylePr>
    <w:tblStylePr w:type="lastCol">
      <w:rPr>
        <w:b/>
        <w:color w:val="254175" w:themeColor="accent1" w:themeShade="95"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val="c9c9c9" w:themeColor="accent3" w:themeTint="98" w:themeShade="95"/>
      </w:rPr>
      <w:tblPr/>
    </w:tblStylePr>
    <w:tblStylePr w:type="lastCol">
      <w:rPr>
        <w:b/>
        <w:color w:val="c9c9c9"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color="9BC2E5" w:themeColor="accent5" w:sz="4" w:space="0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color="9BC2E5" w:themeColor="accent5" w:sz="4" w:space="0"/>
        </w:tcBorders>
      </w:tcPr>
    </w:tblStylePr>
    <w:tblStylePr w:type="firstCol">
      <w:rPr>
        <w:b/>
        <w:color w:val="9bc2e5" w:themeColor="accent5" w:themeTint="9a" w:themeShade="95"/>
      </w:rPr>
      <w:tblPr/>
    </w:tblStylePr>
    <w:tblStylePr w:type="lastCol">
      <w:rPr>
        <w:b/>
        <w:color w:val="9bc2e5" w:themeColor="accent5" w:themeTint="9a" w:themeShade="95"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val="a9d08e" w:themeColor="accent6" w:themeTint="98" w:themeShade="95"/>
      </w:rPr>
      <w:tblPr/>
    </w:tblStylePr>
    <w:tblStylePr w:type="lastCol">
      <w:rPr>
        <w:b/>
        <w:color w:val="a9d08e"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BC2E5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color="9BC2E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sz="4" w:space="0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single" w:color="9BC2E5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B9BD5" w:fill="5B9BD5" w:themeFill="accent5"/>
      </w:tcPr>
    </w:tblStylePr>
    <w:tblStylePr w:type="lastRow">
      <w:rPr>
        <w:sz w:val="22"/>
      </w:rPr>
      <w:tblPr/>
      <w:tcPr>
        <w:shd w:val="clear" w:color="5B9BD5" w:fill="5B9BD5" w:themeFill="accent5"/>
      </w:tcPr>
    </w:tblStylePr>
    <w:tblStylePr w:type="firstCol">
      <w:rPr>
        <w:sz w:val="22"/>
      </w:rPr>
      <w:tblPr/>
      <w:tcPr>
        <w:shd w:val="clear" w:color="5B9BD5" w:fill="5B9BD5" w:themeFill="accent5"/>
      </w:tcPr>
    </w:tblStylePr>
    <w:tblStylePr w:type="lastCol">
      <w:rPr>
        <w:sz w:val="22"/>
      </w:rPr>
      <w:tblPr/>
      <w:tcPr>
        <w:shd w:val="clear" w:color="5B9BD5" w:fill="5B9BD5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  <w:tblBorders>
        <w:top w:val="single" w:color="254175" w:themeColor="accent1" w:sz="4" w:space="0"/>
        <w:left w:val="single" w:color="254175" w:themeColor="accent1" w:sz="4" w:space="0"/>
        <w:bottom w:val="single" w:color="254175" w:themeColor="accent1" w:sz="4" w:space="0"/>
        <w:right w:val="single" w:color="254175" w:themeColor="accent1" w:sz="4" w:space="0"/>
        <w:insideH w:val="single" w:color="254175" w:themeColor="accent1" w:sz="4" w:space="0"/>
        <w:insideV w:val="single" w:color="254175" w:themeColor="accent1" w:sz="4" w:space="0"/>
      </w:tblBorders>
    </w:tblPr>
    <w:tblStylePr w:type="firstRow">
      <w:rPr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  <w:tblBorders>
        <w:top w:val="single" w:color="245A8D" w:themeColor="accent5" w:sz="4" w:space="0"/>
        <w:left w:val="single" w:color="245A8D" w:themeColor="accent5" w:sz="4" w:space="0"/>
        <w:bottom w:val="single" w:color="245A8D" w:themeColor="accent5" w:sz="4" w:space="0"/>
        <w:right w:val="single" w:color="245A8D" w:themeColor="accent5" w:sz="4" w:space="0"/>
        <w:insideH w:val="single" w:color="245A8D" w:themeColor="accent5" w:sz="4" w:space="0"/>
        <w:insideV w:val="single" w:color="245A8D" w:themeColor="accent5" w:sz="4" w:space="0"/>
      </w:tblBorders>
    </w:tblPr>
    <w:tblStylePr w:type="firstRow">
      <w:rPr>
        <w:sz w:val="22"/>
      </w:rPr>
      <w:tblPr/>
      <w:tcPr>
        <w:shd w:val="clear" w:color="5B9BD5" w:fill="5B9BD5" w:themeFill="accent5"/>
      </w:tcPr>
    </w:tblStylePr>
    <w:tblStylePr w:type="lastRow">
      <w:rPr>
        <w:sz w:val="22"/>
      </w:rPr>
      <w:tblPr/>
      <w:tcPr>
        <w:shd w:val="clear" w:color="5B9BD5" w:fill="5B9BD5" w:themeFill="accent5"/>
      </w:tcPr>
    </w:tblStylePr>
    <w:tblStylePr w:type="firstCol">
      <w:rPr>
        <w:sz w:val="22"/>
      </w:rPr>
      <w:tblPr/>
      <w:tcPr>
        <w:shd w:val="clear" w:color="5B9BD5" w:fill="5B9BD5" w:themeFill="accent5"/>
      </w:tcPr>
    </w:tblStylePr>
    <w:tblStylePr w:type="lastCol">
      <w:rPr>
        <w:sz w:val="22"/>
      </w:rPr>
      <w:tblPr/>
      <w:tcPr>
        <w:shd w:val="clear" w:color="5B9BD5" w:fill="5B9BD5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sz w:val="20"/>
      <w:szCs w:val="20"/>
      <w:lang w:val="es-MX" w:eastAsia="es-MX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4472C4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4472C4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472C4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9BC2E5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9BC2E5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9BC2E5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customStyle="1" w:styleId="Tablaconcuadrcula1">
    <w:name w:val="Tabla con cuadrícula1"/>
    <w:pPr>
      <w:spacing w:after="0" w:line="240" w:lineRule="auto"/>
    </w:pPr>
    <w:rPr>
      <w:rFonts w:eastAsiaTheme="minorEastAsia"/>
      <w:sz w:val="20"/>
      <w:szCs w:val="20"/>
      <w:lang w:val="es-MX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Normal">
    <w:name w:val="Table Normal"/>
    <w:uiPriority w:val="2"/>
    <w:semiHidden/>
    <w:unhideWhenUsed/>
    <w:qFormat/>
    <w:rsid w:val="006d56e7"/>
    <w:pPr>
      <w:spacing w:after="0" w:line="240" w:lineRule="auto"/>
    </w:pPr>
    <w:rPr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2">
    <w:name w:val="Tabla con cuadrícula2"/>
    <w:basedOn w:val="Tablanormal"/>
    <w:uiPriority w:val="39"/>
    <w:rsid w:val="00e705cf"/>
    <w:pPr>
      <w:spacing w:after="0" w:line="240" w:lineRule="auto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concuadrcula11">
    <w:name w:val="Tabla con cuadrícula11"/>
    <w:basedOn w:val="Tablanormal"/>
    <w:uiPriority w:val="39"/>
    <w:rsid w:val="00e705cf"/>
    <w:pPr>
      <w:spacing w:after="0" w:line="240" w:lineRule="auto"/>
    </w:pPr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aconcuadrcula21">
    <w:name w:val="Tabla con cuadrícula21"/>
    <w:basedOn w:val="Tablanormal"/>
    <w:uiPriority w:val="39"/>
    <w:rsid w:val="00e705cf"/>
    <w:pPr>
      <w:spacing w:after="0" w:line="240" w:lineRule="auto"/>
    </w:pPr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aconcuadrcula3">
    <w:name w:val="Tabla con cuadrícula3"/>
    <w:basedOn w:val="Tablanormal"/>
    <w:uiPriority w:val="39"/>
    <w:rsid w:val="00e705cf"/>
    <w:pPr>
      <w:spacing w:after="0" w:line="240" w:lineRule="auto"/>
    </w:pPr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aconcuadrcula211">
    <w:name w:val="Tabla con cuadrícula211"/>
    <w:basedOn w:val="Tablanormal"/>
    <w:uiPriority w:val="39"/>
    <w:rsid w:val="00731538"/>
    <w:pPr>
      <w:spacing w:after="0" w:line="240" w:lineRule="auto"/>
    </w:pPr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D557E-C85E-46CE-892A-24D3B93F8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LibreOffice/25.8.4.2$Windows_X86_64 LibreOffice_project/290daaa01b999472f0c7a3890eb6a550fd74c6df</Application>
  <AppVersion>15.0000</AppVersion>
  <Pages>9</Pages>
  <Words>1782</Words>
  <Characters>10573</Characters>
  <CharactersWithSpaces>12096</CharactersWithSpaces>
  <Paragraphs>240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2026-05-06T03:58:00Z</dcterms:created>
  <dc:creator>QuerySoft</dc:creator>
  <dc:description/>
  <dc:language>es-VE</dc:language>
  <cp:lastModifiedBy/>
  <dcterms:modified xsi:type="dcterms:W3CDTF">2026-05-16T15:57:01Z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