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INFORME TÉCNICO DETALLADO DE PRUEBAS DE HUMO (SMOKE TESTING)</w:t>
      </w:r>
      <w:r>
        <w:rPr>
          <w:color w:val="000000" w:themeColor="text1"/>
          <w:sz w:val="22"/>
          <w:szCs w:val="22"/>
        </w:rPr>
      </w:r>
    </w:p>
    <w:p>
      <w:pPr>
        <w:pBdr/>
        <w:spacing w:after="200"/>
        <w:ind/>
        <w:rPr>
          <w:color w:val="000000" w:themeColor="text1"/>
          <w:sz w:val="22"/>
          <w:szCs w:val="22"/>
        </w:rPr>
      </w:pPr>
      <w:r>
        <w:rPr>
          <w:i/>
          <w:color w:val="000000" w:themeColor="text1"/>
          <w:sz w:val="22"/>
          <w:szCs w:val="22"/>
        </w:rPr>
        <w:t xml:space="preserve">Sistema de Gestión AJUPTELCBO v2.0 | Ejecución Automatizada y Análisis de Rutas</w:t>
      </w:r>
      <w:r>
        <w:rPr>
          <w:color w:val="000000" w:themeColor="text1"/>
          <w:sz w:val="22"/>
          <w:szCs w:val="22"/>
        </w:rPr>
      </w:r>
    </w:p>
    <w:p>
      <w:pPr>
        <w:pBdr/>
        <w:spacing/>
        <w:ind/>
        <w:rPr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1. Ficha Técnica del Entorno de Ejecución</w:t>
      </w:r>
      <w:r>
        <w:rPr>
          <w:color w:val="000000" w:themeColor="text1"/>
          <w:sz w:val="22"/>
          <w:szCs w:val="22"/>
        </w:rPr>
      </w:r>
    </w:p>
    <w:tbl>
      <w:tblPr>
        <w:jc w:val="center"/>
        <w:tblW w:w="0" w:type="auto"/>
        <w:tblBorders>
          <w:top w:val="single" w:color="cbd5e1" w:sz="4" w:space="0"/>
          <w:left w:val="none" w:color="000000" w:sz="4" w:space="0"/>
          <w:bottom w:val="single" w:color="cbd5e1" w:sz="4" w:space="0"/>
          <w:right w:val="none" w:color="000000" w:sz="4" w:space="0"/>
          <w:insideH w:val="single" w:color="cbd5e1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Sistema Evaluado: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AJUPTELCBO v2.0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Framework Base: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Laravel 13.x / PHP 8.4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Motor de Pruebas: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PHPUnit 12.5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Base de Datos Pruebas: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SQLite en memoria (:memory:)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Duración Total: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2.3 segundos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Aserciones Verificadas: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46 Aserciones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Fecha Ejecución: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30/07/2026 20:57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Resultado Global: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80" w:type="dxa"/>
              <w:top w:w="50" w:type="dxa"/>
              <w:right w:w="80" w:type="dxa"/>
              <w:bottom w:w="50" w:type="dxa"/>
            </w:tcMar>
            <w:tcW w:w="234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15/15 PASS (100% Éxito)</w:t>
            </w:r>
            <w:r>
              <w:rPr>
                <w:sz w:val="22"/>
                <w:szCs w:val="22"/>
              </w:rPr>
            </w:r>
          </w:p>
        </w:tc>
      </w:tr>
    </w:tbl>
    <w:p>
      <w:pPr>
        <w:pBdr/>
        <w:spacing w:after="120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2. Matriz Detallada de Casos de Prueba Smoke Testing</w:t>
      </w:r>
      <w:r>
        <w:rPr>
          <w:color w:val="000000" w:themeColor="text1"/>
          <w:sz w:val="22"/>
          <w:szCs w:val="22"/>
        </w:rPr>
      </w:r>
    </w:p>
    <w:tbl>
      <w:tblPr>
        <w:jc w:val="center"/>
        <w:tblW w:w="0" w:type="auto"/>
        <w:tblBorders>
          <w:top w:val="single" w:color="cbd5e1" w:sz="4" w:space="0"/>
          <w:left w:val="none" w:color="000000" w:sz="4" w:space="0"/>
          <w:bottom w:val="single" w:color="cbd5e1" w:sz="4" w:space="0"/>
          <w:right w:val="none" w:color="000000" w:sz="4" w:space="0"/>
          <w:insideH w:val="single" w:color="cbd5e1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shd w:val="clear" w:color="auto" w:fill="0f172a"/>
            <w:tcBorders/>
            <w:tcMar>
              <w:left w:w="60" w:type="dxa"/>
              <w:top w:w="70" w:type="dxa"/>
              <w:right w:w="60" w:type="dxa"/>
              <w:bottom w:w="70" w:type="dxa"/>
            </w:tcMar>
            <w:tcW w:w="1560" w:type="dxa"/>
            <w:vAlign w:val="center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ID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0f172a"/>
            <w:tcBorders/>
            <w:tcMar>
              <w:left w:w="60" w:type="dxa"/>
              <w:top w:w="70" w:type="dxa"/>
              <w:right w:w="60" w:type="dxa"/>
              <w:bottom w:w="70" w:type="dxa"/>
            </w:tcMar>
            <w:tcW w:w="1560" w:type="dxa"/>
            <w:vAlign w:val="center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Caso de Prueba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0f172a"/>
            <w:tcBorders/>
            <w:tcMar>
              <w:left w:w="60" w:type="dxa"/>
              <w:top w:w="70" w:type="dxa"/>
              <w:right w:w="60" w:type="dxa"/>
              <w:bottom w:w="70" w:type="dxa"/>
            </w:tcMar>
            <w:tcW w:w="1560" w:type="dxa"/>
            <w:vAlign w:val="center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Tipo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0f172a"/>
            <w:tcBorders/>
            <w:tcMar>
              <w:left w:w="60" w:type="dxa"/>
              <w:top w:w="70" w:type="dxa"/>
              <w:right w:w="60" w:type="dxa"/>
              <w:bottom w:w="70" w:type="dxa"/>
            </w:tcMar>
            <w:tcW w:w="1560" w:type="dxa"/>
            <w:vAlign w:val="center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Rutas Verificadas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0f172a"/>
            <w:tcBorders/>
            <w:tcMar>
              <w:left w:w="60" w:type="dxa"/>
              <w:top w:w="70" w:type="dxa"/>
              <w:right w:w="60" w:type="dxa"/>
              <w:bottom w:w="70" w:type="dxa"/>
            </w:tcMar>
            <w:tcW w:w="1560" w:type="dxa"/>
            <w:vAlign w:val="center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Descripción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0f172a"/>
            <w:tcBorders/>
            <w:tcMar>
              <w:left w:w="60" w:type="dxa"/>
              <w:top w:w="70" w:type="dxa"/>
              <w:right w:w="60" w:type="dxa"/>
              <w:bottom w:w="70" w:type="dxa"/>
            </w:tcMar>
            <w:tcW w:w="1560" w:type="dxa"/>
            <w:vAlign w:val="center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 xml:space="preserve">Estado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SMT-001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Login y Dashboard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Acceso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POST /login, GET /admin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Inicia sesión y accede al dashboard administrativo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SMT-002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Catálogos - Índices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Navegación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 /admin/cargos, /estadosciviles, /situaciones, /zonas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Carga correcta de listados de catálogos base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SMT-003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Catálogos - CRUD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CRUD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POST /admin/cargos, PUT /admin/cargos/{id}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Creación y actualización básica de cargos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SMT-004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Empleados - CRUD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CRUD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 /admin/empleados, POST /admin/empleados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Listado y creación básica de expediente de empleado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SMT-005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Voceros - CRUD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CRUD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 /admin/voceros, POST /admin/voceros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Listado y alta de integrantes del comité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SMT-006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Proveedores - CRUD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CRUD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 /admin/proveedores, POST /admin/proveedores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Listado y registro básico de proveedor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SMT-007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Blog - Público y Admin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Gestión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 /blog, GET /admin/blog, POST /admin/blog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Carga pública/admin y publicación de artículo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SMT-008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Base de Conocimiento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CRUD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 /admin/knowledge-base, POST /admin/knowledge-base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Carga y creación en base de conocimiento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SMT-009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Procedimientos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CRUD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 /admin/procedures, POST /admin/procedures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Carga y creación de manuales de procedimientos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SMT-010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Perfil de Usuario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Perfil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 /admin/profile, PATCH /admin/profile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Consulta y actualización del perfil del usuario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SMT-011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Restaurar - Páginas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Navegación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 /admin/restaurar-* (5 endpoints)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Carga de vistas de restauración de eliminados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SMT-012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Consultas - Páginas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Navegación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 /admin/consulta/asociado-familiar, /vocero-asociado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Carga de vistas de reportes y consultas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SMT-013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Formulario Contacto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Acceso Público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 /contacto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Carga del formulario público de contacto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SMT-014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Cierre de Sesión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Autenticación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POST /logout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Cierre de sesión y redirección a login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8fafc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SMT-015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Bloqueo Rutas Admin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Seguridad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GET /admin/* (Sin autenticación)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Redirección obligatoria al login sin sesión activa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/>
            <w:tcBorders/>
            <w:tcMar>
              <w:left w:w="60" w:type="dxa"/>
              <w:top w:w="50" w:type="dxa"/>
              <w:right w:w="60" w:type="dxa"/>
              <w:bottom w:w="50" w:type="dxa"/>
            </w:tcMar>
            <w:tcW w:w="1560" w:type="dxa"/>
          </w:tcPr>
          <w:p>
            <w:pPr>
              <w:pBdr/>
              <w:spacing w:after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10b981"/>
                <w:sz w:val="22"/>
                <w:szCs w:val="22"/>
              </w:rPr>
              <w:t xml:space="preserve">PASS</w:t>
            </w:r>
            <w:r>
              <w:rPr>
                <w:sz w:val="22"/>
                <w:szCs w:val="22"/>
              </w:rPr>
            </w:r>
          </w:p>
        </w:tc>
      </w:tr>
    </w:tbl>
    <w:p>
      <w:pPr>
        <w:pBdr/>
        <w:spacing w:after="120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3. Registro de Defectos Detectados y Resoluciones</w:t>
      </w:r>
      <w:r>
        <w:rPr>
          <w:color w:val="000000" w:themeColor="text1"/>
          <w:sz w:val="22"/>
          <w:szCs w:val="22"/>
        </w:rPr>
      </w:r>
    </w:p>
    <w:p>
      <w:pPr>
        <w:pBdr/>
        <w:spacing w:after="40"/>
        <w:ind/>
        <w:rPr>
          <w:sz w:val="22"/>
          <w:szCs w:val="22"/>
        </w:rPr>
      </w:pPr>
      <w:r>
        <w:rPr>
          <w:b/>
          <w:color w:val="0f172a"/>
          <w:sz w:val="22"/>
          <w:szCs w:val="22"/>
        </w:rPr>
        <w:t xml:space="preserve">1. Compatibilidad SQL en BlogController::getArchive()</w:t>
      </w:r>
      <w:r>
        <w:rPr>
          <w:sz w:val="22"/>
          <w:szCs w:val="22"/>
        </w:rPr>
      </w:r>
    </w:p>
    <w:tbl>
      <w:tblPr>
        <w:jc w:val="center"/>
        <w:tblW w:w="0" w:type="auto"/>
        <w:tblBorders>
          <w:top w:val="single" w:color="cbd5e1" w:sz="4" w:space="0"/>
          <w:left w:val="none" w:color="000000" w:sz="4" w:space="0"/>
          <w:bottom w:val="single" w:color="cbd5e1" w:sz="4" w:space="0"/>
          <w:right w:val="none" w:color="000000" w:sz="4" w:space="0"/>
          <w:insideH w:val="single" w:color="cbd5e1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f1f5f9"/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Ubicación / Archivo: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app/Http/Controllers/BlogController.php (Líneas 20-40)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1f5f9"/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Descripción / Causa: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Uso de funciones nativas de MySQL (YEAR, MONTH, MONTHNAME) no soportadas en SQLite durante la suite de pruebas.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1f5f9"/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Solución Aplicada: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  <w:tc>
          <w:tcPr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Se refactorizó la consulta mediante strftime('%Y', created_at) y strftime('%m', created_at) para compatibilidad multimotor.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40"/>
        <w:ind/>
        <w:rPr>
          <w:sz w:val="22"/>
          <w:szCs w:val="22"/>
        </w:rPr>
      </w:pPr>
      <w:r>
        <w:rPr>
          <w:b/>
          <w:color w:val="0f172a"/>
          <w:sz w:val="22"/>
          <w:szCs w:val="22"/>
        </w:rPr>
        <w:t xml:space="preserve">2. Ausencia de Campos Requeridos en Datos Mock de Pruebas</w:t>
      </w:r>
      <w:r>
        <w:rPr>
          <w:sz w:val="22"/>
          <w:szCs w:val="22"/>
        </w:rPr>
      </w:r>
    </w:p>
    <w:tbl>
      <w:tblPr>
        <w:jc w:val="center"/>
        <w:tblW w:w="0" w:type="auto"/>
        <w:tblBorders>
          <w:top w:val="single" w:color="cbd5e1" w:sz="4" w:space="0"/>
          <w:left w:val="none" w:color="000000" w:sz="4" w:space="0"/>
          <w:bottom w:val="single" w:color="cbd5e1" w:sz="4" w:space="0"/>
          <w:right w:val="none" w:color="000000" w:sz="4" w:space="0"/>
          <w:insideH w:val="single" w:color="cbd5e1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f1f5f9"/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Ubicación / Archivo: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tests/Feature/SmokeTest.php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1f5f9"/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Descripción / Causa: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Las peticiones POST/PUT fallaban por validación al omitir campos obligatorios: genero en Vocero, tel_prov/percontac_prov en Proveedor, direccion/status en KB.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1f5f9"/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Solución Aplicada: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Se completaron los arreglos de prueba en SmokeTest con todos los atributos requeridos por los FormRequests.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40"/>
        <w:ind/>
        <w:rPr>
          <w:sz w:val="22"/>
          <w:szCs w:val="22"/>
        </w:rPr>
      </w:pPr>
      <w:r>
        <w:rPr>
          <w:b/>
          <w:color w:val="0f172a"/>
          <w:sz w:val="22"/>
          <w:szCs w:val="22"/>
        </w:rPr>
        <w:t xml:space="preserve">3. Discrepancia en Ruta de Perfil y Clave de Sesión</w:t>
      </w:r>
      <w:r>
        <w:rPr>
          <w:sz w:val="22"/>
          <w:szCs w:val="22"/>
        </w:rPr>
      </w:r>
    </w:p>
    <w:tbl>
      <w:tblPr>
        <w:jc w:val="center"/>
        <w:tblW w:w="0" w:type="auto"/>
        <w:tblBorders>
          <w:top w:val="single" w:color="cbd5e1" w:sz="4" w:space="0"/>
          <w:left w:val="none" w:color="000000" w:sz="4" w:space="0"/>
          <w:bottom w:val="single" w:color="cbd5e1" w:sz="4" w:space="0"/>
          <w:right w:val="none" w:color="000000" w:sz="4" w:space="0"/>
          <w:insideH w:val="single" w:color="cbd5e1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f1f5f9"/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Ubicación / Archivo: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routes/web.php &amp; ProfileController.php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1f5f9"/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Descripción / Causa: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El test apuntaba a /profile en lugar del prefijo administrativo /admin/profile. Adicionalmente la clave de notificación difería (success vs status).</w:t>
            </w: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1f5f9"/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Solución Aplicada: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Mar>
              <w:left w:w="60" w:type="dxa"/>
              <w:top w:w="40" w:type="dxa"/>
              <w:right w:w="60" w:type="dxa"/>
              <w:bottom w:w="40" w:type="dxa"/>
            </w:tcMar>
            <w:tcW w:w="4680" w:type="dxa"/>
          </w:tcPr>
          <w:p>
            <w:pPr>
              <w:pBdr/>
              <w:spacing w:after="0"/>
              <w:ind/>
              <w:rPr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 xml:space="preserve">Se corrigió el endpoint del test a /admin/profile y se alineó la clave de sesión al estándar del controlador.</w:t>
            </w:r>
            <w:r>
              <w:rPr>
                <w:color w:val="000000" w:themeColor="text1"/>
                <w:sz w:val="22"/>
                <w:szCs w:val="22"/>
              </w:rPr>
            </w:r>
          </w:p>
        </w:tc>
      </w:tr>
    </w:tbl>
    <w:p>
      <w:pPr>
        <w:pBdr/>
        <w:spacing w:after="80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4. Dictamen Final de Estabilidad</w:t>
      </w:r>
      <w:r>
        <w:rPr>
          <w:color w:val="000000" w:themeColor="text1"/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Se confirma que el Sistema de </w:t>
      </w:r>
      <w:r>
        <w:rPr>
          <w:sz w:val="22"/>
          <w:szCs w:val="22"/>
        </w:rPr>
        <w:t xml:space="preserve">Gestión AJUPTELCBO v2.0 ha superado de forma consistente las 15 pruebas de humo. Las 46 aserciones ejecutadas demuestran que los módulos clave responden adecuadamente en tiempo y forma, garantizando la integridad básica para la fase de Pruebas Funcionales.</w:t>
      </w:r>
      <w:r>
        <w:rPr>
          <w:sz w:val="22"/>
          <w:szCs w:val="22"/>
        </w:rPr>
      </w:r>
    </w:p>
    <w:p>
      <w:pPr>
        <w:pBdr/>
        <w:spacing/>
        <w:ind/>
        <w:jc w:val="right"/>
        <w:rPr>
          <w:color w:val="000000" w:themeColor="text1"/>
          <w:sz w:val="22"/>
          <w:szCs w:val="22"/>
        </w:rPr>
      </w:pPr>
      <w:r>
        <w:rPr>
          <w:i/>
          <w:color w:val="000000" w:themeColor="text1"/>
          <w:sz w:val="22"/>
          <w:szCs w:val="22"/>
        </w:rPr>
        <w:t xml:space="preserve">Informe Técnico Generado Automáticamente — QA &amp; Testing Team</w:t>
        <w:br/>
        <w:t xml:space="preserve">Certificado el 30 de Julio de 2026</w:t>
      </w:r>
      <w:r>
        <w:rPr>
          <w:color w:val="000000" w:themeColor="text1"/>
          <w:sz w:val="22"/>
          <w:szCs w:val="22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80" w:line="276" w:lineRule="auto"/>
      <w:ind/>
    </w:pPr>
    <w:rPr>
      <w:rFonts w:ascii="Arial" w:hAnsi="Arial"/>
      <w:color w:val="1e293b"/>
      <w:sz w:val="16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2026-07-31T01:29:44Z</dcterms:modified>
  <cp:category/>
</cp:coreProperties>
</file>