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/>
          <w:b/>
          <w:color w:val="1A1A2E"/>
          <w:sz w:val="40"/>
        </w:rPr>
        <w:t>INFORME GERENCIAL DE PRUEBAS FUNCIONALES (RESUMIDO)</w:t>
      </w:r>
    </w:p>
    <w:p>
      <w:pPr>
        <w:spacing w:after="320"/>
      </w:pPr>
      <w:r>
        <w:rPr>
          <w:rFonts w:ascii="Arial" w:hAnsi="Arial"/>
          <w:i/>
          <w:color w:val="64748B"/>
          <w:sz w:val="22"/>
        </w:rPr>
        <w:t>Sistema de Gestión AJUPTELCBO v2.0 | Pruebas de Integración y Sistema</w:t>
      </w:r>
    </w:p>
    <w:p>
      <w:pPr>
        <w:spacing w:before="240" w:after="160"/>
      </w:pPr>
      <w:r>
        <w:rPr>
          <w:rFonts w:ascii="Arial" w:hAnsi="Arial"/>
          <w:b/>
          <w:color w:val="2563EB"/>
          <w:sz w:val="28"/>
        </w:rPr>
        <w:t>1. Resumen Ejecutivo</w:t>
      </w:r>
    </w:p>
    <w:p>
      <w:r>
        <w:t>El presente informe ejecutivo resume los resultados obtenidos durante la fase de Pruebas Funcionales, de Integración y de Sistema aplicadas a la versión 2.0 del Sistema de Gestión AJUPTELCBO. Las pruebas certifican la operatividad, estabilidad y seguridad del sistema bajo los requerimientos especificados.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  <w:jc w:val="center"/>
            </w:pPr>
            <w:r>
              <w:rPr>
                <w:b/>
                <w:color w:val="2563EB"/>
                <w:sz w:val="40"/>
              </w:rPr>
              <w:t>143</w:t>
              <w:br/>
            </w:r>
            <w:r>
              <w:rPr>
                <w:color w:val="64748B"/>
                <w:sz w:val="19"/>
              </w:rPr>
              <w:t>Casos de Prueba Ejecutados</w:t>
            </w:r>
          </w:p>
        </w:tc>
        <w:tc>
          <w:tcPr>
            <w:tcW w:type="dxa" w:w="3120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  <w:jc w:val="center"/>
            </w:pPr>
            <w:r>
              <w:rPr>
                <w:b/>
                <w:color w:val="059669"/>
                <w:sz w:val="40"/>
              </w:rPr>
              <w:t>143</w:t>
              <w:br/>
            </w:r>
            <w:r>
              <w:rPr>
                <w:color w:val="64748B"/>
                <w:sz w:val="19"/>
              </w:rPr>
              <w:t>Casos Exitosos (0 Fallidos)</w:t>
            </w:r>
          </w:p>
        </w:tc>
        <w:tc>
          <w:tcPr>
            <w:tcW w:type="dxa" w:w="3120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  <w:jc w:val="center"/>
            </w:pPr>
            <w:r>
              <w:rPr>
                <w:b/>
                <w:color w:val="059669"/>
                <w:sz w:val="40"/>
              </w:rPr>
              <w:t>100%</w:t>
              <w:br/>
            </w:r>
            <w:r>
              <w:rPr>
                <w:color w:val="64748B"/>
                <w:sz w:val="19"/>
              </w:rPr>
              <w:t>Tasa de Éxito Global</w:t>
            </w:r>
          </w:p>
        </w:tc>
      </w:tr>
      <w:tr>
        <w:tc>
          <w:tcPr>
            <w:tcW w:type="dxa" w:w="3120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  <w:jc w:val="center"/>
            </w:pPr>
            <w:r>
              <w:rPr>
                <w:b/>
                <w:color w:val="7C3AED"/>
                <w:sz w:val="40"/>
              </w:rPr>
              <w:t>12</w:t>
              <w:br/>
            </w:r>
            <w:r>
              <w:rPr>
                <w:color w:val="64748B"/>
                <w:sz w:val="19"/>
              </w:rPr>
              <w:t>Módulos Evaluados</w:t>
            </w:r>
          </w:p>
        </w:tc>
        <w:tc>
          <w:tcPr>
            <w:tcW w:type="dxa" w:w="3120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  <w:jc w:val="center"/>
            </w:pPr>
            <w:r>
              <w:rPr>
                <w:b/>
                <w:color w:val="D97706"/>
                <w:sz w:val="40"/>
              </w:rPr>
              <w:t>354</w:t>
              <w:br/>
            </w:r>
            <w:r>
              <w:rPr>
                <w:color w:val="64748B"/>
                <w:sz w:val="19"/>
              </w:rPr>
              <w:t>Aserciones Verificadas</w:t>
            </w:r>
          </w:p>
        </w:tc>
        <w:tc>
          <w:tcPr>
            <w:tcW w:type="dxa" w:w="3120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  <w:jc w:val="center"/>
            </w:pPr>
            <w:r>
              <w:rPr>
                <w:b/>
                <w:color w:val="059669"/>
                <w:sz w:val="40"/>
              </w:rPr>
              <w:t>4</w:t>
              <w:br/>
            </w:r>
            <w:r>
              <w:rPr>
                <w:color w:val="64748B"/>
                <w:sz w:val="19"/>
              </w:rPr>
              <w:t>Defectos Corregidos</w:t>
            </w:r>
          </w:p>
        </w:tc>
      </w:tr>
    </w:tbl>
    <w:p>
      <w:pPr>
        <w:spacing w:after="160"/>
      </w:pPr>
    </w:p>
    <w:p>
      <w:pPr>
        <w:spacing w:before="240" w:after="160"/>
      </w:pPr>
      <w:r>
        <w:rPr>
          <w:rFonts w:ascii="Arial" w:hAnsi="Arial"/>
          <w:b/>
          <w:color w:val="2563EB"/>
          <w:sz w:val="28"/>
        </w:rPr>
        <w:t>2. Entorno de Pruebas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Servidor Web: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Apache (XAMPP)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PHP / Framework: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PHP 8.4 / Laravel 13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Framework Pruebas: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PHPUnit 12.5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Duración Total: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7.8 segundos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BD Producción: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MySQL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BD Pruebas: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SQLite en memoria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Fecha Ejecución: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30/07/2026 20:25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Versión Sistema: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AJUPTELCBO v2.0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Tasa Cobertura: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100% de Módulos (12/12)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Estado General: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APROBADO PARA PRODUCCIÓN</w:t>
            </w:r>
          </w:p>
        </w:tc>
      </w:tr>
    </w:tbl>
    <w:p>
      <w:pPr>
        <w:spacing w:after="160"/>
      </w:pPr>
    </w:p>
    <w:p>
      <w:pPr>
        <w:spacing w:before="240" w:after="160"/>
      </w:pPr>
      <w:r>
        <w:rPr>
          <w:rFonts w:ascii="Arial" w:hAnsi="Arial"/>
          <w:b/>
          <w:color w:val="2563EB"/>
          <w:sz w:val="28"/>
        </w:rPr>
        <w:t>3. Matriz Consolidada de Cobertura por Módulo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A1A2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Módulo Evaluado</w:t>
            </w:r>
          </w:p>
        </w:tc>
        <w:tc>
          <w:tcPr>
            <w:tcW w:type="dxa" w:w="1560"/>
            <w:shd w:fill="1A1A2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Total CP</w:t>
            </w:r>
          </w:p>
        </w:tc>
        <w:tc>
          <w:tcPr>
            <w:tcW w:type="dxa" w:w="1560"/>
            <w:shd w:fill="1A1A2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Funcional</w:t>
            </w:r>
          </w:p>
        </w:tc>
        <w:tc>
          <w:tcPr>
            <w:tcW w:type="dxa" w:w="1560"/>
            <w:shd w:fill="1A1A2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Seguridad</w:t>
            </w:r>
          </w:p>
        </w:tc>
        <w:tc>
          <w:tcPr>
            <w:tcW w:type="dxa" w:w="1560"/>
            <w:shd w:fill="1A1A2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Validación</w:t>
            </w:r>
          </w:p>
        </w:tc>
        <w:tc>
          <w:tcPr>
            <w:tcW w:type="dxa" w:w="1560"/>
            <w:shd w:fill="1A1A2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Módulo Catálogos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27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23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0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4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100% PASS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Módulo Empleados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12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7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0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5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100% PASS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Módulo Voceros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11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8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0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3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100% PASS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Módulo Proveedores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12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8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0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4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100% PASS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Módulo Familiares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10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7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0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3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100% PASS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Módulo Blog / Artículos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16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10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1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5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100% PASS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Módulo Base de Conocimiento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10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7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0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3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100% PASS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Módulo Procedimientos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10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7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0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3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100% PASS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Módulo Perfil de Usuario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9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5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1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3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100% PASS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Módulo Restaurar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10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10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0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0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100% PASS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Módulo Consultas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11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9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0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2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100% PASS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Módulo Contacto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5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4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0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1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100% PASS</w:t>
            </w:r>
          </w:p>
        </w:tc>
      </w:tr>
      <w:tr>
        <w:tc>
          <w:tcPr>
            <w:tcW w:type="dxa" w:w="1560"/>
            <w:shd w:fill="E2E8F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TOTAL GENERAL</w:t>
            </w:r>
          </w:p>
        </w:tc>
        <w:tc>
          <w:tcPr>
            <w:tcW w:type="dxa" w:w="1560"/>
            <w:shd w:fill="E2E8F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143</w:t>
            </w:r>
          </w:p>
        </w:tc>
        <w:tc>
          <w:tcPr>
            <w:tcW w:type="dxa" w:w="1560"/>
            <w:shd w:fill="E2E8F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105</w:t>
            </w:r>
          </w:p>
        </w:tc>
        <w:tc>
          <w:tcPr>
            <w:tcW w:type="dxa" w:w="1560"/>
            <w:shd w:fill="E2E8F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1560"/>
            <w:shd w:fill="E2E8F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36</w:t>
            </w:r>
          </w:p>
        </w:tc>
        <w:tc>
          <w:tcPr>
            <w:tcW w:type="dxa" w:w="1560"/>
            <w:shd w:fill="E2E8F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100% PASS</w:t>
            </w:r>
          </w:p>
        </w:tc>
      </w:tr>
    </w:tbl>
    <w:p>
      <w:pPr>
        <w:spacing w:after="160"/>
      </w:pPr>
    </w:p>
    <w:p>
      <w:pPr>
        <w:spacing w:before="240" w:after="160"/>
      </w:pPr>
      <w:r>
        <w:rPr>
          <w:rFonts w:ascii="Arial" w:hAnsi="Arial"/>
          <w:b/>
          <w:color w:val="2563EB"/>
          <w:sz w:val="28"/>
        </w:rPr>
        <w:t>4. Resumen de Defectos Detectados y Corregidos</w:t>
      </w:r>
    </w:p>
    <w:p>
      <w:r>
        <w:t>Durante las pruebas se identificaron 4 hallazgos críticos/funcionales. Todos fueron solventados y validados satisfactoriamente antes de la emisión del presente informe: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1A2E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ID Defecto</w:t>
            </w:r>
          </w:p>
        </w:tc>
        <w:tc>
          <w:tcPr>
            <w:tcW w:type="dxa" w:w="2340"/>
            <w:shd w:fill="1A1A2E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Descripción del Defecto</w:t>
            </w:r>
          </w:p>
        </w:tc>
        <w:tc>
          <w:tcPr>
            <w:tcW w:type="dxa" w:w="2340"/>
            <w:shd w:fill="1A1A2E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2340"/>
            <w:shd w:fill="1A1A2E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Solución Aplicada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2563EB"/>
              </w:rPr>
              <w:t>BUG-001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Undefined array key 'published_at' en BlogController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Blog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Se implementó el operador de fusión nula ($data['published_at'] ?? null).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2563EB"/>
              </w:rPr>
              <w:t>BUG-002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Nombres de rutas incorrectos en RestaurarController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Restaurar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Se corrigieron 5 redirecciones hacia 'admin.asociadosr.index'.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2563EB"/>
              </w:rPr>
              <w:t>BUG-003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Función CONCAT no compatible con SQLite en pruebas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Consultas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Se añadió detección dinámica del driver de BD para utilizar la sintaxis correspondiente.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2563EB"/>
              </w:rPr>
              <w:t>BUG-004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Prueba de borrador con aserción invertida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Blog (Pruebas)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Se rectificó la aserción incorrecta en BlogModuleTest.</w:t>
            </w:r>
          </w:p>
        </w:tc>
      </w:tr>
    </w:tbl>
    <w:p>
      <w:pPr>
        <w:spacing w:after="160"/>
      </w:pPr>
    </w:p>
    <w:p>
      <w:pPr>
        <w:spacing w:before="240" w:after="160"/>
      </w:pPr>
      <w:r>
        <w:rPr>
          <w:rFonts w:ascii="Arial" w:hAnsi="Arial"/>
          <w:b/>
          <w:color w:val="2563EB"/>
          <w:sz w:val="28"/>
        </w:rPr>
        <w:t>5. Conclusiones y Recomendaciones Gerenciales</w:t>
      </w:r>
    </w:p>
    <w:p>
      <w:r>
        <w:rPr>
          <w:b/>
        </w:rPr>
        <w:t xml:space="preserve">• Conclusión: </w:t>
      </w:r>
      <w:r>
        <w:t>El Sistema AJUPTELCBO v2.0 ha superado el 100% de los casos de prueba previstos (143/143), demostrando robustez en sus operaciones CRUD, integridad en la seguridad de rutas con autenticación y adecuado manejo de validaciones.</w:t>
      </w:r>
    </w:p>
    <w:p>
      <w:r>
        <w:rPr>
          <w:b/>
        </w:rPr>
        <w:t xml:space="preserve">• Recomendación Técnica: </w:t>
      </w:r>
      <w:r>
        <w:t>Se sugiere configurar una suite de pruebas continua sobre un entorno MariaDB/MySQL equivalente al de producción para validar formalmente el cumplimiento de las restricciones de clave foránea (FK), las cuales se omiten por defecto en entornos SQLite en memoria.</w:t>
      </w:r>
    </w:p>
    <w:p>
      <w:pPr>
        <w:spacing w:after="320"/>
      </w:pPr>
    </w:p>
    <w:p>
      <w:pPr>
        <w:jc w:val="right"/>
      </w:pPr>
      <w:r>
        <w:rPr>
          <w:i/>
          <w:color w:val="64748B"/>
          <w:sz w:val="17"/>
        </w:rPr>
        <w:t>Informe Generado Automáticamente — Sistema AJUPTELCBO v2.0</w:t>
        <w:br/>
        <w:t>Fecha de Certificación: 30 de Julio de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