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jc w:val="center"/>
      </w:pPr>
      <w:r>
        <w:rPr>
          <w:b/>
          <w:color w:val="FF0000"/>
          <w:sz w:val="20"/>
          <w:szCs w:val="20"/>
        </w:rPr>
        <w:t xml:space="preserve">*** BORRADOR — PARA REVISIÓN DEL ABOGADO RESPONSABLE — NO RADICAR ***</w:t>
      </w:r>
    </w:p>
    <w:p w14:paraId="530F7FD4" w14:textId="7E5420C7" w:rsidR="008511A6" w:rsidRPr="00B95D8E" w:rsidRDefault="00D66A9A" w:rsidP="00B20789">
      <w:pPr>
        <w:jc w:val="both"/>
        <w:rPr>
          <w:rFonts w:ascii="Arial" w:eastAsia="Times New Roman" w:hAnsi="Arial" w:cs="Arial"/>
          <w:b/>
          <w:sz w:val="22"/>
          <w:szCs w:val="22"/>
          <w:lang w:val="es-ES" w:eastAsia="es-ES"/>
        </w:rPr>
      </w:pPr>
      <w:r w:rsidRPr="00B95D8E">
        <w:rPr>
          <w:rFonts w:ascii="Arial" w:eastAsia="Times New Roman" w:hAnsi="Arial" w:cs="Arial"/>
          <w:bCs/>
          <w:sz w:val="22"/>
          <w:szCs w:val="22"/>
          <w:lang w:val="es-ES" w:eastAsia="es-ES"/>
        </w:rPr>
        <w:t xml:space="preserve">2026-06-10             234567854324567432</w:t>
      </w:r>
      <w:r w:rsidR="00B95D8E">
        <w:rPr>
          <w:rFonts w:ascii="Arial" w:eastAsia="Times New Roman" w:hAnsi="Arial" w:cs="Arial"/>
          <w:bCs/>
          <w:sz w:val="22"/>
          <w:szCs w:val="22"/>
          <w:lang w:val="es-ES" w:eastAsia="es-ES"/>
        </w:rPr>
      </w:r>
      <w:r w:rsidRPr="00B95D8E">
        <w:rPr>
          <w:rFonts w:ascii="Arial" w:eastAsia="Times New Roman" w:hAnsi="Arial" w:cs="Arial"/>
          <w:bCs/>
          <w:sz w:val="22"/>
          <w:szCs w:val="22"/>
          <w:lang w:val="es-ES" w:eastAsia="es-ES"/>
        </w:rPr>
      </w:r>
      <w:r w:rsidR="00B95D8E" w:rsidRPr="00B95D8E">
        <w:rPr>
          <w:rFonts w:ascii="Arial" w:eastAsia="Times New Roman" w:hAnsi="Arial" w:cs="Arial"/>
          <w:b/>
          <w:sz w:val="22"/>
          <w:szCs w:val="22"/>
          <w:lang w:val="es-ES" w:eastAsia="es-ES"/>
        </w:rPr>
      </w:r>
    </w:p>
    <w:p w14:paraId="14A7C1A2" w14:textId="77777777" w:rsidR="00F1534D" w:rsidRPr="00B95D8E" w:rsidRDefault="00F1534D" w:rsidP="00B20789">
      <w:pPr>
        <w:jc w:val="both"/>
        <w:rPr>
          <w:rFonts w:ascii="Arial" w:eastAsia="Times New Roman" w:hAnsi="Arial" w:cs="Arial"/>
          <w:bCs/>
          <w:sz w:val="22"/>
          <w:szCs w:val="22"/>
          <w:lang w:val="es-ES" w:eastAsia="es-ES"/>
        </w:rPr>
      </w:pPr>
    </w:p>
    <w:p w14:paraId="063C3328" w14:textId="77777777" w:rsidR="00E320F9" w:rsidRPr="00B95D8E" w:rsidRDefault="00E320F9" w:rsidP="00B20789">
      <w:pPr>
        <w:pStyle w:val="Ttulo1"/>
        <w:jc w:val="both"/>
        <w:rPr>
          <w:b w:val="0"/>
          <w:color w:val="auto"/>
          <w:sz w:val="22"/>
          <w:szCs w:val="22"/>
        </w:rPr>
      </w:pPr>
      <w:r w:rsidRPr="00B95D8E">
        <w:rPr>
          <w:b w:val="0"/>
          <w:color w:val="auto"/>
          <w:sz w:val="22"/>
          <w:szCs w:val="22"/>
        </w:rPr>
        <w:t xml:space="preserve">Señores </w:t>
      </w:r>
    </w:p>
    <w:p w14:paraId="4E832C45" w14:textId="24CE4F1F" w:rsidR="002831AC" w:rsidRPr="00B95D8E" w:rsidRDefault="0078502D" w:rsidP="00B20789">
      <w:pPr>
        <w:jc w:val="both"/>
        <w:rPr>
          <w:rFonts w:ascii="Arial" w:hAnsi="Arial" w:cs="Arial"/>
          <w:b/>
          <w:bCs/>
          <w:sz w:val="22"/>
          <w:szCs w:val="22"/>
        </w:rPr>
      </w:pPr>
      <w:r w:rsidRPr="00B95D8E">
        <w:rPr>
          <w:rFonts w:ascii="Arial" w:hAnsi="Arial" w:cs="Arial"/>
          <w:b/>
          <w:bCs/>
          <w:sz w:val="22"/>
          <w:szCs w:val="22"/>
        </w:rPr>
        <w:t xml:space="preserve">rewrwerewr</w:t>
      </w:r>
      <w:r w:rsidR="00B95D8E">
        <w:rPr>
          <w:rFonts w:ascii="Arial" w:hAnsi="Arial" w:cs="Arial"/>
          <w:b/>
          <w:bCs/>
          <w:sz w:val="22"/>
          <w:szCs w:val="22"/>
        </w:rPr>
      </w:r>
      <w:r w:rsidRPr="00B95D8E">
        <w:rPr>
          <w:rFonts w:ascii="Arial" w:hAnsi="Arial" w:cs="Arial"/>
          <w:b/>
          <w:bCs/>
          <w:sz w:val="22"/>
          <w:szCs w:val="22"/>
        </w:rPr>
      </w:r>
      <w:r w:rsidR="00B95D8E">
        <w:rPr>
          <w:rFonts w:ascii="Arial" w:hAnsi="Arial" w:cs="Arial"/>
          <w:b/>
          <w:bCs/>
          <w:sz w:val="22"/>
          <w:szCs w:val="22"/>
        </w:rPr>
      </w:r>
      <w:r w:rsidRPr="00B95D8E">
        <w:rPr>
          <w:rFonts w:ascii="Arial" w:hAnsi="Arial" w:cs="Arial"/>
          <w:b/>
          <w:bCs/>
          <w:sz w:val="22"/>
          <w:szCs w:val="22"/>
        </w:rPr>
      </w:r>
    </w:p>
    <w:p w14:paraId="19464061" w14:textId="77777777" w:rsidR="00E320F9" w:rsidRPr="00B95D8E" w:rsidRDefault="00E320F9" w:rsidP="00B20789">
      <w:pPr>
        <w:jc w:val="both"/>
        <w:rPr>
          <w:rFonts w:ascii="Arial" w:hAnsi="Arial" w:cs="Arial"/>
          <w:sz w:val="22"/>
          <w:szCs w:val="22"/>
        </w:rPr>
      </w:pPr>
      <w:r w:rsidRPr="00B95D8E">
        <w:rPr>
          <w:rFonts w:ascii="Arial" w:hAnsi="Arial" w:cs="Arial"/>
          <w:sz w:val="22"/>
          <w:szCs w:val="22"/>
        </w:rPr>
        <w:t>E.</w:t>
      </w:r>
      <w:r w:rsidRPr="00B95D8E">
        <w:rPr>
          <w:rFonts w:ascii="Arial" w:hAnsi="Arial" w:cs="Arial"/>
          <w:sz w:val="22"/>
          <w:szCs w:val="22"/>
        </w:rPr>
        <w:tab/>
        <w:t>S.</w:t>
      </w:r>
      <w:r w:rsidRPr="00B95D8E">
        <w:rPr>
          <w:rFonts w:ascii="Arial" w:hAnsi="Arial" w:cs="Arial"/>
          <w:sz w:val="22"/>
          <w:szCs w:val="22"/>
        </w:rPr>
        <w:tab/>
        <w:t>D.</w:t>
      </w:r>
    </w:p>
    <w:p w14:paraId="77E6C169" w14:textId="77777777" w:rsidR="00E320F9" w:rsidRPr="00B95D8E" w:rsidRDefault="00E320F9" w:rsidP="00B20789">
      <w:pPr>
        <w:jc w:val="both"/>
        <w:rPr>
          <w:rFonts w:ascii="Arial" w:hAnsi="Arial" w:cs="Arial"/>
          <w:sz w:val="22"/>
          <w:szCs w:val="22"/>
        </w:rPr>
      </w:pPr>
    </w:p>
    <w:p w14:paraId="6A96DF1D" w14:textId="77777777" w:rsidR="00E320F9" w:rsidRPr="00B95D8E" w:rsidRDefault="00E320F9" w:rsidP="00B20789">
      <w:pPr>
        <w:ind w:left="1985" w:hanging="1701"/>
        <w:jc w:val="both"/>
        <w:rPr>
          <w:rFonts w:ascii="Arial" w:hAnsi="Arial" w:cs="Arial"/>
          <w:sz w:val="22"/>
          <w:szCs w:val="22"/>
        </w:rPr>
      </w:pPr>
      <w:r w:rsidRPr="00B95D8E">
        <w:rPr>
          <w:rFonts w:ascii="Arial" w:hAnsi="Arial" w:cs="Arial"/>
          <w:b/>
          <w:bCs/>
          <w:sz w:val="22"/>
          <w:szCs w:val="22"/>
        </w:rPr>
        <w:t>REF.</w:t>
      </w:r>
      <w:r w:rsidRPr="00B95D8E">
        <w:rPr>
          <w:rFonts w:ascii="Arial" w:hAnsi="Arial" w:cs="Arial"/>
          <w:sz w:val="22"/>
          <w:szCs w:val="22"/>
        </w:rPr>
        <w:t xml:space="preserve"> </w:t>
      </w:r>
      <w:r w:rsidRPr="00B95D8E">
        <w:rPr>
          <w:rFonts w:ascii="Arial" w:hAnsi="Arial" w:cs="Arial"/>
          <w:sz w:val="22"/>
          <w:szCs w:val="22"/>
        </w:rPr>
        <w:tab/>
        <w:t>Contestación Acción de Tutela.</w:t>
      </w:r>
    </w:p>
    <w:p w14:paraId="38FA530C" w14:textId="77777777" w:rsidR="00E320F9" w:rsidRPr="00B95D8E" w:rsidRDefault="00E320F9" w:rsidP="00B20789">
      <w:pPr>
        <w:pStyle w:val="Sangradetextonormal"/>
        <w:spacing w:after="0"/>
        <w:ind w:left="1985" w:hanging="1701"/>
        <w:jc w:val="both"/>
        <w:rPr>
          <w:rFonts w:ascii="Arial" w:eastAsia="Times New Roman" w:hAnsi="Arial" w:cs="Arial"/>
          <w:bCs/>
          <w:kern w:val="16"/>
          <w:sz w:val="22"/>
          <w:szCs w:val="22"/>
          <w:lang w:val="es-CO" w:eastAsia="es-ES"/>
        </w:rPr>
      </w:pPr>
      <w:r w:rsidRPr="00B95D8E">
        <w:rPr>
          <w:rFonts w:ascii="Arial" w:hAnsi="Arial" w:cs="Arial"/>
          <w:b/>
          <w:bCs/>
          <w:sz w:val="22"/>
          <w:szCs w:val="22"/>
        </w:rPr>
        <w:t xml:space="preserve">Accionante:EWREWREWR</w:t>
        <w:tab/>
        <w:t/>
      </w:r>
      <w:r w:rsidRPr="00B95D8E">
        <w:rPr>
          <w:rFonts w:ascii="Arial" w:hAnsi="Arial" w:cs="Arial"/>
          <w:sz w:val="22"/>
          <w:szCs w:val="22"/>
        </w:rPr>
      </w:r>
      <w:r w:rsidRPr="00B95D8E">
        <w:rPr>
          <w:rFonts w:ascii="Arial" w:hAnsi="Arial" w:cs="Arial"/>
          <w:sz w:val="22"/>
          <w:szCs w:val="22"/>
        </w:rPr>
      </w:r>
      <w:r w:rsidR="00845127" w:rsidRPr="00B95D8E">
        <w:rPr>
          <w:rFonts w:ascii="Arial" w:hAnsi="Arial" w:cs="Arial"/>
          <w:sz w:val="22"/>
          <w:szCs w:val="22"/>
        </w:rPr>
      </w:r>
    </w:p>
    <w:p w14:paraId="7650C255" w14:textId="77777777" w:rsidR="00E320F9" w:rsidRPr="00B95D8E" w:rsidRDefault="00E320F9" w:rsidP="00B20789">
      <w:pPr>
        <w:ind w:left="1985" w:hanging="1701"/>
        <w:jc w:val="both"/>
        <w:rPr>
          <w:rFonts w:ascii="Arial" w:hAnsi="Arial" w:cs="Arial"/>
          <w:bCs/>
          <w:sz w:val="22"/>
          <w:szCs w:val="22"/>
        </w:rPr>
      </w:pPr>
      <w:r w:rsidRPr="00B95D8E">
        <w:rPr>
          <w:rFonts w:ascii="Arial" w:hAnsi="Arial" w:cs="Arial"/>
          <w:b/>
          <w:bCs/>
          <w:sz w:val="22"/>
          <w:szCs w:val="22"/>
        </w:rPr>
        <w:t>Accionado:</w:t>
      </w:r>
      <w:r w:rsidRPr="00B95D8E">
        <w:rPr>
          <w:rFonts w:ascii="Arial" w:hAnsi="Arial" w:cs="Arial"/>
          <w:b/>
          <w:bCs/>
          <w:sz w:val="22"/>
          <w:szCs w:val="22"/>
        </w:rPr>
        <w:tab/>
      </w:r>
      <w:r w:rsidR="00543BA9" w:rsidRPr="00B95D8E">
        <w:rPr>
          <w:rFonts w:ascii="Arial" w:hAnsi="Arial" w:cs="Arial"/>
          <w:bCs/>
          <w:sz w:val="22"/>
          <w:szCs w:val="22"/>
        </w:rPr>
        <w:t xml:space="preserve">EPS SURA - 8000887022 </w:t>
      </w:r>
    </w:p>
    <w:p w14:paraId="133C21F4" w14:textId="77777777" w:rsidR="00E320F9" w:rsidRPr="00B95D8E" w:rsidRDefault="00E320F9" w:rsidP="0079409B">
      <w:pPr>
        <w:ind w:left="1985" w:hanging="1701"/>
        <w:jc w:val="both"/>
        <w:rPr>
          <w:rFonts w:ascii="Arial" w:hAnsi="Arial" w:cs="Arial"/>
          <w:bCs/>
          <w:sz w:val="22"/>
          <w:szCs w:val="22"/>
        </w:rPr>
      </w:pPr>
      <w:r w:rsidRPr="00B95D8E">
        <w:rPr>
          <w:rFonts w:ascii="Arial" w:hAnsi="Arial" w:cs="Arial"/>
          <w:b/>
          <w:bCs/>
          <w:sz w:val="22"/>
          <w:szCs w:val="22"/>
        </w:rPr>
        <w:t xml:space="preserve">Radicado:51234532452</w:t>
        <w:tab/>
        <w:t/>
      </w:r>
      <w:r w:rsidRPr="00B95D8E">
        <w:rPr>
          <w:rFonts w:ascii="Arial" w:hAnsi="Arial" w:cs="Arial"/>
          <w:sz w:val="22"/>
          <w:szCs w:val="22"/>
        </w:rPr>
      </w:r>
      <w:r w:rsidR="00D2546B" w:rsidRPr="00B95D8E">
        <w:rPr>
          <w:rFonts w:ascii="Arial" w:hAnsi="Arial" w:cs="Arial"/>
          <w:sz w:val="22"/>
          <w:szCs w:val="22"/>
        </w:rPr>
      </w:r>
    </w:p>
    <w:p w14:paraId="6CE38810" w14:textId="77777777" w:rsidR="00E320F9" w:rsidRPr="00B95D8E" w:rsidRDefault="00E320F9" w:rsidP="00B20789">
      <w:pPr>
        <w:jc w:val="both"/>
        <w:rPr>
          <w:rFonts w:ascii="Arial" w:hAnsi="Arial" w:cs="Arial"/>
          <w:sz w:val="22"/>
          <w:szCs w:val="22"/>
        </w:rPr>
      </w:pPr>
    </w:p>
    <w:p w14:paraId="6FE7C7B8" w14:textId="2E41DBE4" w:rsidR="00E320F9" w:rsidRPr="00B95D8E" w:rsidRDefault="00661A11" w:rsidP="00B20789">
      <w:pPr>
        <w:tabs>
          <w:tab w:val="left" w:pos="8273"/>
        </w:tabs>
        <w:ind w:right="49"/>
        <w:jc w:val="both"/>
        <w:rPr>
          <w:rFonts w:ascii="Arial" w:eastAsia="Arial Unicode MS" w:hAnsi="Arial" w:cs="Arial"/>
          <w:sz w:val="22"/>
          <w:szCs w:val="22"/>
          <w:lang w:val="es-CO" w:eastAsia="en-US"/>
        </w:rPr>
      </w:pPr>
      <w:r w:rsidRPr="00B95D8E">
        <w:rPr>
          <w:rFonts w:ascii="Arial" w:eastAsia="Arial Unicode MS" w:hAnsi="Arial" w:cs="Arial"/>
          <w:b/>
          <w:bCs/>
          <w:sz w:val="22"/>
          <w:szCs w:val="22"/>
          <w:lang w:val="es-CO" w:eastAsia="en-US"/>
        </w:rPr>
        <w:t xml:space="preserve">MARIA ISABEL VARGAS RESTREPO CC 43.876.543 obrando en mi condición de Representante Legal de la compañía EPS SURAMERICANA S.A. NIT800.088.702-2 - EPS SURAMERICANA S.A., en adelante SURA, tal como consta en el certificado de existencia y representación legal que se adjunta al presente escrito, respetuosamente doy contestación dentro del término judicial señalado a la acción de tutela interpuesta por la parte accionante, de la siguiente manera:</w:t>
      </w:r>
      <w:r w:rsidR="00B95D8E">
        <w:rPr>
          <w:rFonts w:ascii="Arial" w:eastAsia="Arial Unicode MS" w:hAnsi="Arial" w:cs="Arial"/>
          <w:b/>
          <w:bCs/>
          <w:sz w:val="22"/>
          <w:szCs w:val="22"/>
          <w:lang w:val="es-CO" w:eastAsia="en-US"/>
        </w:rPr>
      </w:r>
      <w:r w:rsidRPr="00B95D8E">
        <w:rPr>
          <w:rFonts w:ascii="Arial" w:eastAsia="Arial Unicode MS" w:hAnsi="Arial" w:cs="Arial"/>
          <w:b/>
          <w:bCs/>
          <w:sz w:val="22"/>
          <w:szCs w:val="22"/>
          <w:lang w:val="es-CO" w:eastAsia="en-US"/>
        </w:rPr>
      </w:r>
      <w:r w:rsidRPr="00B95D8E">
        <w:rPr>
          <w:rFonts w:ascii="Arial" w:eastAsia="Arial Unicode MS" w:hAnsi="Arial" w:cs="Arial"/>
          <w:sz w:val="22"/>
          <w:szCs w:val="22"/>
          <w:lang w:val="es-CO" w:eastAsia="en-US"/>
        </w:rPr>
      </w:r>
      <w:r w:rsidR="00E320F9" w:rsidRPr="00B95D8E">
        <w:rPr>
          <w:rFonts w:ascii="Arial" w:eastAsia="Arial Unicode MS" w:hAnsi="Arial" w:cs="Arial"/>
          <w:sz w:val="22"/>
          <w:szCs w:val="22"/>
          <w:lang w:val="es-CO" w:eastAsia="en-US"/>
        </w:rPr>
      </w:r>
      <w:r w:rsidR="00B12172" w:rsidRPr="00B95D8E">
        <w:rPr>
          <w:rFonts w:ascii="Arial" w:eastAsia="Arial Unicode MS" w:hAnsi="Arial" w:cs="Arial"/>
          <w:sz w:val="22"/>
          <w:szCs w:val="22"/>
          <w:lang w:val="es-CO" w:eastAsia="en-US"/>
        </w:rPr>
      </w:r>
      <w:r w:rsidR="00D17E61" w:rsidRPr="00B95D8E">
        <w:rPr>
          <w:rFonts w:ascii="Arial" w:eastAsia="Arial Unicode MS" w:hAnsi="Arial" w:cs="Arial"/>
          <w:sz w:val="22"/>
          <w:szCs w:val="22"/>
          <w:lang w:val="es-CO" w:eastAsia="en-US"/>
        </w:rPr>
      </w:r>
      <w:r w:rsidR="00E320F9" w:rsidRPr="00B95D8E">
        <w:rPr>
          <w:rFonts w:ascii="Arial" w:eastAsia="Arial Unicode MS" w:hAnsi="Arial" w:cs="Arial"/>
          <w:sz w:val="22"/>
          <w:szCs w:val="22"/>
          <w:lang w:val="es-CO" w:eastAsia="en-US"/>
        </w:rPr>
      </w:r>
      <w:r w:rsidR="001F5309" w:rsidRPr="00B95D8E">
        <w:rPr>
          <w:rFonts w:ascii="Arial" w:hAnsi="Arial" w:cs="Arial"/>
          <w:b/>
          <w:bCs/>
          <w:sz w:val="22"/>
          <w:szCs w:val="22"/>
        </w:rPr>
      </w:r>
      <w:r w:rsidR="00E320F9" w:rsidRPr="00B95D8E">
        <w:rPr>
          <w:rFonts w:ascii="Arial" w:hAnsi="Arial" w:cs="Arial"/>
          <w:b/>
          <w:bCs/>
          <w:sz w:val="22"/>
          <w:szCs w:val="22"/>
        </w:rPr>
      </w:r>
      <w:r w:rsidR="00BF0C61" w:rsidRPr="00B95D8E">
        <w:rPr>
          <w:rFonts w:ascii="Arial" w:hAnsi="Arial" w:cs="Arial"/>
          <w:b/>
          <w:bCs/>
          <w:sz w:val="22"/>
          <w:szCs w:val="22"/>
        </w:rPr>
      </w:r>
      <w:r w:rsidR="00E320F9" w:rsidRPr="00B95D8E">
        <w:rPr>
          <w:rFonts w:ascii="Arial" w:eastAsia="Arial Unicode MS" w:hAnsi="Arial" w:cs="Arial"/>
          <w:b/>
          <w:bCs/>
          <w:sz w:val="22"/>
          <w:szCs w:val="22"/>
          <w:lang w:val="es-CO" w:eastAsia="en-US"/>
        </w:rPr>
      </w:r>
      <w:r w:rsidR="00E320F9" w:rsidRPr="00B95D8E">
        <w:rPr>
          <w:rFonts w:ascii="Arial" w:eastAsia="Arial Unicode MS" w:hAnsi="Arial" w:cs="Arial"/>
          <w:bCs/>
          <w:sz w:val="22"/>
          <w:szCs w:val="22"/>
          <w:lang w:val="es-CO" w:eastAsia="en-US"/>
        </w:rPr>
      </w:r>
      <w:r w:rsidR="00E320F9" w:rsidRPr="00B95D8E">
        <w:rPr>
          <w:rFonts w:ascii="Arial" w:eastAsia="Arial Unicode MS" w:hAnsi="Arial" w:cs="Arial"/>
          <w:b/>
          <w:bCs/>
          <w:sz w:val="22"/>
          <w:szCs w:val="22"/>
          <w:lang w:val="es-CO" w:eastAsia="en-US"/>
        </w:rPr>
      </w:r>
      <w:r w:rsidR="00E320F9" w:rsidRPr="00B95D8E">
        <w:rPr>
          <w:rFonts w:ascii="Arial" w:eastAsia="Arial Unicode MS" w:hAnsi="Arial" w:cs="Arial"/>
          <w:sz w:val="22"/>
          <w:szCs w:val="22"/>
          <w:lang w:val="es-CO" w:eastAsia="en-US"/>
        </w:rPr>
      </w:r>
      <w:r w:rsidR="008511A6" w:rsidRPr="00B95D8E">
        <w:rPr>
          <w:rFonts w:ascii="Arial" w:eastAsia="Arial Unicode MS" w:hAnsi="Arial" w:cs="Arial"/>
          <w:b/>
          <w:sz w:val="22"/>
          <w:szCs w:val="22"/>
          <w:lang w:val="es-CO" w:eastAsia="en-US"/>
        </w:rPr>
      </w:r>
      <w:r w:rsidR="008511A6" w:rsidRPr="00B95D8E">
        <w:rPr>
          <w:rFonts w:ascii="Arial" w:eastAsia="Arial Unicode MS" w:hAnsi="Arial" w:cs="Arial"/>
          <w:sz w:val="22"/>
          <w:szCs w:val="22"/>
          <w:lang w:val="es-CO" w:eastAsia="en-US"/>
        </w:rPr>
      </w:r>
      <w:r w:rsidR="00E320F9" w:rsidRPr="00B95D8E">
        <w:rPr>
          <w:rFonts w:ascii="Arial" w:eastAsia="Arial Unicode MS" w:hAnsi="Arial" w:cs="Arial"/>
          <w:sz w:val="22"/>
          <w:szCs w:val="22"/>
          <w:lang w:val="es-CO" w:eastAsia="en-US"/>
        </w:rPr>
      </w:r>
    </w:p>
    <w:p w14:paraId="29E5CC11" w14:textId="77777777" w:rsidR="00E46D70" w:rsidRDefault="00E46D70" w:rsidP="00B20789">
      <w:pPr>
        <w:tabs>
          <w:tab w:val="left" w:pos="8273"/>
        </w:tabs>
        <w:ind w:right="49"/>
        <w:jc w:val="both"/>
        <w:rPr>
          <w:rFonts w:ascii="Arial" w:eastAsia="Arial Unicode MS" w:hAnsi="Arial" w:cs="Arial"/>
          <w:sz w:val="22"/>
          <w:szCs w:val="22"/>
          <w:lang w:val="es-CO" w:eastAsia="en-US"/>
        </w:rPr>
      </w:pPr>
    </w:p>
    <w:p w14:paraId="00F60006" w14:textId="77777777" w:rsidR="009273FD" w:rsidRDefault="009273FD" w:rsidP="00B20789">
      <w:pPr>
        <w:tabs>
          <w:tab w:val="left" w:pos="8273"/>
        </w:tabs>
        <w:ind w:right="49"/>
        <w:jc w:val="both"/>
        <w:rPr>
          <w:rFonts w:ascii="Arial" w:eastAsia="Arial Unicode MS" w:hAnsi="Arial" w:cs="Arial"/>
          <w:sz w:val="22"/>
          <w:szCs w:val="22"/>
          <w:lang w:val="es-CO" w:eastAsia="en-US"/>
        </w:rPr>
      </w:pPr>
    </w:p>
    <w:p w14:paraId="40868AE7" w14:textId="77777777" w:rsidR="009273FD" w:rsidRPr="003C2C8C" w:rsidRDefault="009273FD" w:rsidP="009273FD">
      <w:pPr>
        <w:tabs>
          <w:tab w:val="left" w:pos="8273"/>
        </w:tabs>
        <w:ind w:right="49"/>
        <w:jc w:val="center"/>
        <w:rPr>
          <w:rFonts w:ascii="Arial" w:eastAsia="Arial Unicode MS" w:hAnsi="Arial" w:cs="Arial"/>
          <w:b/>
          <w:bCs/>
          <w:sz w:val="22"/>
          <w:szCs w:val="22"/>
          <w:lang w:val="es-CO" w:eastAsia="en-US"/>
        </w:rPr>
      </w:pPr>
      <w:r w:rsidRPr="003C2C8C">
        <w:rPr>
          <w:rFonts w:ascii="Arial" w:eastAsia="Arial Unicode MS" w:hAnsi="Arial" w:cs="Arial"/>
          <w:b/>
          <w:bCs/>
          <w:sz w:val="22"/>
          <w:szCs w:val="22"/>
          <w:lang w:val="es-CO" w:eastAsia="en-US"/>
        </w:rPr>
        <w:t>ACLARACIÓN PREVIA</w:t>
      </w:r>
    </w:p>
    <w:p w14:paraId="048B9B8F" w14:textId="77777777" w:rsidR="009273FD" w:rsidRDefault="009273FD" w:rsidP="009273FD">
      <w:pPr>
        <w:tabs>
          <w:tab w:val="left" w:pos="8273"/>
        </w:tabs>
        <w:ind w:right="49"/>
        <w:jc w:val="center"/>
        <w:rPr>
          <w:rFonts w:ascii="Arial" w:eastAsia="Arial Unicode MS" w:hAnsi="Arial" w:cs="Arial"/>
          <w:sz w:val="22"/>
          <w:szCs w:val="22"/>
          <w:lang w:val="es-CO" w:eastAsia="en-US"/>
        </w:rPr>
      </w:pPr>
    </w:p>
    <w:p w14:paraId="7ADB760B" w14:textId="734EDCEB" w:rsidR="009273FD" w:rsidRDefault="009273FD" w:rsidP="009273FD">
      <w:pPr>
        <w:tabs>
          <w:tab w:val="left" w:pos="8273"/>
        </w:tabs>
        <w:ind w:right="49"/>
        <w:jc w:val="both"/>
        <w:rPr>
          <w:rFonts w:ascii="Arial" w:eastAsia="Arial Unicode MS" w:hAnsi="Arial" w:cs="Arial"/>
          <w:sz w:val="22"/>
          <w:szCs w:val="22"/>
          <w:lang w:eastAsia="en-US"/>
        </w:rPr>
      </w:pPr>
      <w:r>
        <w:rPr>
          <w:rFonts w:ascii="Arial" w:eastAsia="Arial Unicode MS" w:hAnsi="Arial" w:cs="Arial"/>
          <w:sz w:val="22"/>
          <w:szCs w:val="22"/>
          <w:lang w:val="es-CO" w:eastAsia="en-US"/>
        </w:rPr>
        <w:t xml:space="preserve">Se informa al Honorable Despacho que la accionante cuenta con </w:t>
      </w:r>
      <w:r w:rsidRPr="00A04040">
        <w:rPr>
          <w:rFonts w:ascii="Arial" w:eastAsia="Arial Unicode MS" w:hAnsi="Arial" w:cs="Arial"/>
          <w:b/>
          <w:bCs/>
          <w:sz w:val="22"/>
          <w:szCs w:val="22"/>
          <w:lang w:val="es-CO" w:eastAsia="en-US"/>
        </w:rPr>
        <w:t xml:space="preserve">Sentencia del </w:t>
      </w:r>
      <w:r>
        <w:rPr>
          <w:rFonts w:ascii="Arial" w:eastAsia="Arial Unicode MS" w:hAnsi="Arial" w:cs="Arial"/>
          <w:b/>
          <w:bCs/>
          <w:sz w:val="22"/>
          <w:szCs w:val="22"/>
          <w:lang w:val="es-CO" w:eastAsia="en-US"/>
        </w:rPr>
        <w:t>19</w:t>
      </w:r>
      <w:r w:rsidRPr="00A04040">
        <w:rPr>
          <w:rFonts w:ascii="Arial" w:eastAsia="Arial Unicode MS" w:hAnsi="Arial" w:cs="Arial"/>
          <w:b/>
          <w:bCs/>
          <w:sz w:val="22"/>
          <w:szCs w:val="22"/>
          <w:lang w:val="es-CO" w:eastAsia="en-US"/>
        </w:rPr>
        <w:t xml:space="preserve"> de </w:t>
      </w:r>
      <w:r>
        <w:rPr>
          <w:rFonts w:ascii="Arial" w:eastAsia="Arial Unicode MS" w:hAnsi="Arial" w:cs="Arial"/>
          <w:b/>
          <w:bCs/>
          <w:sz w:val="22"/>
          <w:szCs w:val="22"/>
          <w:lang w:val="es-CO" w:eastAsia="en-US"/>
        </w:rPr>
        <w:t>abril</w:t>
      </w:r>
      <w:r w:rsidRPr="00A04040">
        <w:rPr>
          <w:rFonts w:ascii="Arial" w:eastAsia="Arial Unicode MS" w:hAnsi="Arial" w:cs="Arial"/>
          <w:b/>
          <w:bCs/>
          <w:sz w:val="22"/>
          <w:szCs w:val="22"/>
          <w:lang w:val="es-CO" w:eastAsia="en-US"/>
        </w:rPr>
        <w:t xml:space="preserve"> de </w:t>
      </w:r>
      <w:r>
        <w:rPr>
          <w:rFonts w:ascii="Arial" w:eastAsia="Arial Unicode MS" w:hAnsi="Arial" w:cs="Arial"/>
          <w:b/>
          <w:bCs/>
          <w:sz w:val="22"/>
          <w:szCs w:val="22"/>
          <w:lang w:val="es-CO" w:eastAsia="en-US"/>
        </w:rPr>
        <w:t>2022</w:t>
      </w:r>
      <w:r>
        <w:rPr>
          <w:rFonts w:ascii="Arial" w:eastAsia="Arial Unicode MS" w:hAnsi="Arial" w:cs="Arial"/>
          <w:sz w:val="22"/>
          <w:szCs w:val="22"/>
          <w:lang w:val="es-CO" w:eastAsia="en-US"/>
        </w:rPr>
        <w:t xml:space="preserve">, del proceso con radicado </w:t>
      </w:r>
      <w:r w:rsidRPr="009273FD">
        <w:rPr>
          <w:rFonts w:ascii="Arial" w:eastAsia="Arial Unicode MS" w:hAnsi="Arial" w:cs="Arial"/>
          <w:b/>
          <w:bCs/>
          <w:sz w:val="22"/>
          <w:szCs w:val="22"/>
          <w:lang w:val="es-CO" w:eastAsia="en-US"/>
        </w:rPr>
        <w:t>680014009003-2022-031-00</w:t>
      </w:r>
      <w:r>
        <w:rPr>
          <w:rFonts w:ascii="Arial" w:eastAsia="Arial Unicode MS" w:hAnsi="Arial" w:cs="Arial"/>
          <w:sz w:val="22"/>
          <w:szCs w:val="22"/>
          <w:lang w:eastAsia="en-US"/>
        </w:rPr>
        <w:t xml:space="preserve">, proferida por el </w:t>
      </w:r>
      <w:r w:rsidRPr="009273FD">
        <w:rPr>
          <w:rFonts w:ascii="Arial" w:eastAsia="Arial Unicode MS" w:hAnsi="Arial" w:cs="Arial"/>
          <w:b/>
          <w:bCs/>
          <w:sz w:val="22"/>
          <w:szCs w:val="22"/>
          <w:lang w:val="es-CO" w:eastAsia="en-US"/>
        </w:rPr>
        <w:t>JUZGADO TERCERO PENAL MUNICIPAL CON FUNCIONES DE</w:t>
      </w:r>
      <w:r>
        <w:rPr>
          <w:rFonts w:ascii="Arial" w:eastAsia="Arial Unicode MS" w:hAnsi="Arial" w:cs="Arial"/>
          <w:b/>
          <w:bCs/>
          <w:sz w:val="22"/>
          <w:szCs w:val="22"/>
          <w:lang w:val="es-CO" w:eastAsia="en-US"/>
        </w:rPr>
        <w:t xml:space="preserve"> </w:t>
      </w:r>
      <w:r w:rsidRPr="009273FD">
        <w:rPr>
          <w:rFonts w:ascii="Arial" w:eastAsia="Arial Unicode MS" w:hAnsi="Arial" w:cs="Arial"/>
          <w:b/>
          <w:bCs/>
          <w:sz w:val="22"/>
          <w:szCs w:val="22"/>
          <w:lang w:val="es-CO" w:eastAsia="en-US"/>
        </w:rPr>
        <w:t>CONOCIMIENTO</w:t>
      </w:r>
      <w:r>
        <w:rPr>
          <w:rFonts w:ascii="Arial" w:eastAsia="Arial Unicode MS" w:hAnsi="Arial" w:cs="Arial"/>
          <w:b/>
          <w:bCs/>
          <w:sz w:val="22"/>
          <w:szCs w:val="22"/>
          <w:lang w:val="es-CO" w:eastAsia="en-US"/>
        </w:rPr>
        <w:t xml:space="preserve"> DE BUCARAMANGA</w:t>
      </w:r>
      <w:r>
        <w:rPr>
          <w:rFonts w:ascii="Arial" w:eastAsia="Arial Unicode MS" w:hAnsi="Arial" w:cs="Arial"/>
          <w:sz w:val="22"/>
          <w:szCs w:val="22"/>
          <w:lang w:eastAsia="en-US"/>
        </w:rPr>
        <w:t>, la cual se anexa al presente escrito.</w:t>
      </w:r>
    </w:p>
    <w:p w14:paraId="504C6D92" w14:textId="77777777" w:rsidR="009273FD" w:rsidRDefault="009273FD" w:rsidP="009273FD">
      <w:pPr>
        <w:tabs>
          <w:tab w:val="left" w:pos="8273"/>
        </w:tabs>
        <w:ind w:right="49"/>
        <w:jc w:val="both"/>
        <w:rPr>
          <w:rFonts w:ascii="Arial" w:eastAsia="Arial Unicode MS" w:hAnsi="Arial" w:cs="Arial"/>
          <w:sz w:val="22"/>
          <w:szCs w:val="22"/>
          <w:lang w:eastAsia="en-US"/>
        </w:rPr>
      </w:pPr>
    </w:p>
    <w:p w14:paraId="1F145155" w14:textId="77777777" w:rsidR="009273FD" w:rsidRDefault="009273FD" w:rsidP="009273FD">
      <w:pPr>
        <w:tabs>
          <w:tab w:val="left" w:pos="8273"/>
        </w:tabs>
        <w:ind w:right="49"/>
        <w:jc w:val="both"/>
        <w:rPr>
          <w:rFonts w:ascii="Arial" w:eastAsia="Arial Unicode MS" w:hAnsi="Arial" w:cs="Arial"/>
          <w:sz w:val="22"/>
          <w:szCs w:val="22"/>
          <w:lang w:eastAsia="en-US"/>
        </w:rPr>
      </w:pPr>
      <w:r>
        <w:rPr>
          <w:rFonts w:ascii="Arial" w:eastAsia="Arial Unicode MS" w:hAnsi="Arial" w:cs="Arial"/>
          <w:sz w:val="22"/>
          <w:szCs w:val="22"/>
          <w:lang w:eastAsia="en-US"/>
        </w:rPr>
        <w:t>Dicha sentencia versa sobre lo siguiente:</w:t>
      </w:r>
    </w:p>
    <w:p w14:paraId="6980F4CE" w14:textId="77777777" w:rsidR="009273FD" w:rsidRDefault="009273FD" w:rsidP="009273FD">
      <w:pPr>
        <w:tabs>
          <w:tab w:val="left" w:pos="8273"/>
        </w:tabs>
        <w:ind w:right="49"/>
        <w:jc w:val="both"/>
        <w:rPr>
          <w:rFonts w:ascii="Arial" w:eastAsia="Arial Unicode MS" w:hAnsi="Arial" w:cs="Arial"/>
          <w:sz w:val="22"/>
          <w:szCs w:val="22"/>
          <w:lang w:eastAsia="en-US"/>
        </w:rPr>
      </w:pPr>
    </w:p>
    <w:p w14:paraId="133C7541" w14:textId="610E95C5" w:rsidR="009273FD" w:rsidRDefault="009273FD" w:rsidP="009273FD">
      <w:pPr>
        <w:tabs>
          <w:tab w:val="left" w:pos="8273"/>
        </w:tabs>
        <w:ind w:right="49"/>
        <w:jc w:val="center"/>
        <w:rPr>
          <w:rFonts w:ascii="Arial" w:eastAsia="Arial Unicode MS" w:hAnsi="Arial" w:cs="Arial"/>
          <w:sz w:val="22"/>
          <w:szCs w:val="22"/>
          <w:lang w:val="es-CO" w:eastAsia="en-US"/>
        </w:rPr>
      </w:pPr>
      <w:r>
        <w:rPr>
          <w:noProof/>
        </w:rPr>
        <w:drawing>
          <wp:inline distT="0" distB="0" distL="0" distR="0" wp14:anchorId="079482CF" wp14:editId="1F730B79">
            <wp:extent cx="5612130" cy="1046480"/>
            <wp:effectExtent l="19050" t="19050" r="26670" b="20320"/>
            <wp:docPr id="1011485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85448" name=""/>
                    <pic:cNvPicPr/>
                  </pic:nvPicPr>
                  <pic:blipFill>
                    <a:blip r:embed="rId11"/>
                    <a:stretch>
                      <a:fillRect/>
                    </a:stretch>
                  </pic:blipFill>
                  <pic:spPr>
                    <a:xfrm>
                      <a:off x="0" y="0"/>
                      <a:ext cx="5612130" cy="1046480"/>
                    </a:xfrm>
                    <a:prstGeom prst="rect">
                      <a:avLst/>
                    </a:prstGeom>
                    <a:ln w="12700">
                      <a:solidFill>
                        <a:schemeClr val="tx1"/>
                      </a:solidFill>
                    </a:ln>
                  </pic:spPr>
                </pic:pic>
              </a:graphicData>
            </a:graphic>
          </wp:inline>
        </w:drawing>
      </w:r>
    </w:p>
    <w:p w14:paraId="50EFB5D8" w14:textId="77777777" w:rsidR="009273FD" w:rsidRDefault="009273FD" w:rsidP="009273FD">
      <w:pPr>
        <w:tabs>
          <w:tab w:val="left" w:pos="8273"/>
        </w:tabs>
        <w:ind w:right="49"/>
        <w:jc w:val="both"/>
        <w:rPr>
          <w:rFonts w:ascii="Arial" w:eastAsia="Arial Unicode MS" w:hAnsi="Arial" w:cs="Arial"/>
          <w:sz w:val="22"/>
          <w:szCs w:val="22"/>
          <w:lang w:val="es-CO" w:eastAsia="en-US"/>
        </w:rPr>
      </w:pPr>
    </w:p>
    <w:p w14:paraId="171FF57D" w14:textId="252654B4" w:rsidR="009273FD" w:rsidRDefault="009273FD" w:rsidP="009273FD">
      <w:pPr>
        <w:tabs>
          <w:tab w:val="left" w:pos="8273"/>
        </w:tabs>
        <w:ind w:right="49"/>
        <w:jc w:val="both"/>
        <w:rPr>
          <w:rFonts w:ascii="Arial" w:eastAsia="Arial Unicode MS" w:hAnsi="Arial" w:cs="Arial"/>
          <w:sz w:val="22"/>
          <w:szCs w:val="22"/>
          <w:lang w:val="es-CO" w:eastAsia="en-US"/>
        </w:rPr>
      </w:pPr>
      <w:r>
        <w:rPr>
          <w:rFonts w:ascii="Arial" w:eastAsia="Arial Unicode MS" w:hAnsi="Arial" w:cs="Arial"/>
          <w:sz w:val="22"/>
          <w:szCs w:val="22"/>
          <w:lang w:val="es-CO" w:eastAsia="en-US"/>
        </w:rPr>
        <w:t xml:space="preserve">Teniendo en cuenta lo anterior, y considerando que versa sobre el mismo punto (medicamento fdsfdsfdsfdsf), se constituye la figura jurídica de COSA JUZGADA.</w:t>
      </w:r>
      <w:r>
        <w:rPr>
          <w:rFonts w:ascii="Arial" w:eastAsia="Arial Unicode MS" w:hAnsi="Arial" w:cs="Arial"/>
          <w:sz w:val="22"/>
          <w:szCs w:val="22"/>
          <w:lang w:val="es-CO" w:eastAsia="en-US"/>
        </w:rPr>
      </w:r>
      <w:r>
        <w:rPr>
          <w:rFonts w:ascii="Arial" w:eastAsia="Arial Unicode MS" w:hAnsi="Arial" w:cs="Arial"/>
          <w:sz w:val="22"/>
          <w:szCs w:val="22"/>
          <w:lang w:val="es-CO" w:eastAsia="en-US"/>
        </w:rPr>
      </w:r>
      <w:r w:rsidRPr="009273FD">
        <w:rPr>
          <w:rFonts w:ascii="Arial" w:eastAsia="Arial Unicode MS" w:hAnsi="Arial" w:cs="Arial"/>
          <w:sz w:val="22"/>
          <w:szCs w:val="22"/>
          <w:lang w:val="es-CO" w:eastAsia="en-US"/>
        </w:rPr>
      </w:r>
      <w:r>
        <w:rPr>
          <w:rFonts w:ascii="Arial" w:eastAsia="Arial Unicode MS" w:hAnsi="Arial" w:cs="Arial"/>
          <w:sz w:val="22"/>
          <w:szCs w:val="22"/>
          <w:lang w:val="es-CO" w:eastAsia="en-US"/>
        </w:rPr>
      </w:r>
      <w:r w:rsidRPr="009273FD">
        <w:rPr>
          <w:rFonts w:ascii="Arial" w:eastAsia="Arial Unicode MS" w:hAnsi="Arial" w:cs="Arial"/>
          <w:b/>
          <w:bCs/>
          <w:sz w:val="22"/>
          <w:szCs w:val="22"/>
          <w:u w:val="single"/>
          <w:lang w:val="es-CO" w:eastAsia="en-US"/>
        </w:rPr>
      </w:r>
      <w:r>
        <w:rPr>
          <w:rFonts w:ascii="Arial" w:eastAsia="Arial Unicode MS" w:hAnsi="Arial" w:cs="Arial"/>
          <w:sz w:val="22"/>
          <w:szCs w:val="22"/>
          <w:lang w:val="es-CO" w:eastAsia="en-US"/>
        </w:rPr>
      </w:r>
    </w:p>
    <w:p w14:paraId="401983F8" w14:textId="77777777" w:rsidR="009273FD" w:rsidRDefault="009273FD" w:rsidP="009273FD">
      <w:pPr>
        <w:tabs>
          <w:tab w:val="left" w:pos="8273"/>
        </w:tabs>
        <w:ind w:right="49"/>
        <w:jc w:val="both"/>
        <w:rPr>
          <w:rFonts w:ascii="Arial" w:eastAsia="Arial Unicode MS" w:hAnsi="Arial" w:cs="Arial"/>
          <w:sz w:val="22"/>
          <w:szCs w:val="22"/>
          <w:lang w:val="es-CO" w:eastAsia="en-US"/>
        </w:rPr>
      </w:pPr>
    </w:p>
    <w:p w14:paraId="75325A68" w14:textId="77777777" w:rsidR="008511A6" w:rsidRPr="00B95D8E" w:rsidRDefault="008511A6" w:rsidP="00B20789">
      <w:pPr>
        <w:tabs>
          <w:tab w:val="left" w:pos="8273"/>
        </w:tabs>
        <w:ind w:right="49"/>
        <w:jc w:val="both"/>
        <w:rPr>
          <w:rFonts w:ascii="Arial" w:eastAsia="Arial Unicode MS" w:hAnsi="Arial" w:cs="Arial"/>
          <w:sz w:val="22"/>
          <w:szCs w:val="22"/>
          <w:lang w:val="es-CO" w:eastAsia="en-US"/>
        </w:rPr>
      </w:pPr>
    </w:p>
    <w:p w14:paraId="27C32B37" w14:textId="77777777" w:rsidR="008511A6" w:rsidRPr="00B95D8E" w:rsidRDefault="00E320F9" w:rsidP="00CA5BFA">
      <w:pPr>
        <w:jc w:val="center"/>
        <w:rPr>
          <w:rFonts w:ascii="Arial" w:hAnsi="Arial" w:cs="Arial"/>
          <w:b/>
          <w:bCs/>
          <w:sz w:val="22"/>
          <w:szCs w:val="22"/>
        </w:rPr>
      </w:pPr>
      <w:r w:rsidRPr="00B95D8E">
        <w:rPr>
          <w:rFonts w:ascii="Arial" w:hAnsi="Arial" w:cs="Arial"/>
          <w:b/>
          <w:bCs/>
          <w:sz w:val="22"/>
          <w:szCs w:val="22"/>
        </w:rPr>
        <w:t>A LOS HECHOS</w:t>
      </w:r>
    </w:p>
    <w:p w14:paraId="055D91F5" w14:textId="77777777" w:rsidR="00832EA0" w:rsidRPr="00B95D8E" w:rsidRDefault="00832EA0" w:rsidP="00B20789">
      <w:pPr>
        <w:pStyle w:val="Textoindependiente"/>
        <w:jc w:val="both"/>
        <w:rPr>
          <w:rFonts w:cs="Arial"/>
          <w:b/>
          <w:sz w:val="22"/>
          <w:szCs w:val="22"/>
        </w:rPr>
      </w:pPr>
    </w:p>
    <w:p w14:paraId="4C68A2D5" w14:textId="57B23ADD" w:rsidR="00B95D8E" w:rsidRPr="00B95D8E" w:rsidRDefault="00B95D8E" w:rsidP="00B95D8E">
      <w:pPr>
        <w:pStyle w:val="Textoindependiente"/>
        <w:jc w:val="both"/>
        <w:rPr>
          <w:rFonts w:cs="Arial"/>
          <w:sz w:val="22"/>
          <w:szCs w:val="22"/>
        </w:rPr>
      </w:pPr>
      <w:r>
        <w:rPr>
          <w:rFonts w:cs="Arial"/>
          <w:sz w:val="22"/>
          <w:szCs w:val="22"/>
        </w:rPr>
        <w:t xml:space="preserve">La accionante EWREWREWR, identificada con [TIPO_DOCUMENTO] número [NUMERO_DOCUMENTO], se encuentra afiliada al Plan de Beneficios de Salud (PBS) de EPS SURA.</w:t>
      </w:r>
      <w:r w:rsidRPr="00B95D8E">
        <w:rPr>
          <w:rFonts w:cs="Arial"/>
          <w:sz w:val="22"/>
          <w:szCs w:val="22"/>
        </w:rPr>
      </w:r>
      <w:r w:rsidRPr="00B95D8E">
        <w:rPr>
          <w:rFonts w:eastAsia="Arial Unicode MS" w:cs="Arial"/>
          <w:sz w:val="22"/>
          <w:szCs w:val="22"/>
        </w:rPr>
      </w:r>
      <w:r w:rsidRPr="00B95D8E">
        <w:rPr>
          <w:rFonts w:eastAsia="Arial Unicode MS" w:cs="Arial"/>
          <w:sz w:val="22"/>
          <w:szCs w:val="22"/>
        </w:rPr>
      </w:r>
      <w:r>
        <w:rPr>
          <w:rFonts w:eastAsia="Arial Unicode MS" w:cs="Arial"/>
        </w:rPr>
      </w:r>
      <w:r w:rsidRPr="00B95D8E">
        <w:rPr>
          <w:rFonts w:eastAsia="Arial Unicode MS" w:cs="Arial"/>
          <w:sz w:val="22"/>
          <w:szCs w:val="22"/>
        </w:rPr>
      </w:r>
      <w:r w:rsidRPr="00B95D8E">
        <w:rPr>
          <w:rFonts w:cs="Arial"/>
          <w:sz w:val="22"/>
          <w:szCs w:val="22"/>
        </w:rPr>
      </w:r>
      <w:r>
        <w:rPr>
          <w:rFonts w:cs="Arial"/>
          <w:sz w:val="22"/>
          <w:szCs w:val="22"/>
        </w:rPr>
      </w:r>
      <w:r w:rsidRPr="00B95D8E">
        <w:rPr>
          <w:rFonts w:cs="Arial"/>
          <w:sz w:val="22"/>
          <w:szCs w:val="22"/>
        </w:rPr>
      </w:r>
      <w:r>
        <w:rPr>
          <w:rFonts w:cs="Arial"/>
          <w:sz w:val="22"/>
          <w:szCs w:val="22"/>
        </w:rPr>
      </w:r>
      <w:r w:rsidRPr="00B95D8E">
        <w:rPr>
          <w:rFonts w:cs="Arial"/>
          <w:sz w:val="22"/>
          <w:szCs w:val="22"/>
        </w:rPr>
      </w:r>
      <w:r>
        <w:rPr>
          <w:rFonts w:cs="Arial"/>
          <w:sz w:val="22"/>
          <w:szCs w:val="22"/>
        </w:rPr>
      </w:r>
      <w:r w:rsidRPr="00B95D8E">
        <w:rPr>
          <w:rFonts w:eastAsia="Arial Unicode MS" w:cs="Arial"/>
          <w:sz w:val="22"/>
          <w:szCs w:val="22"/>
        </w:rPr>
      </w:r>
      <w:r>
        <w:rPr>
          <w:rFonts w:eastAsia="Arial Unicode MS" w:cs="Arial"/>
          <w:sz w:val="22"/>
          <w:szCs w:val="22"/>
        </w:rPr>
      </w:r>
      <w:r w:rsidRPr="00B95D8E">
        <w:rPr>
          <w:rFonts w:eastAsia="Arial Unicode MS" w:cs="Arial"/>
          <w:sz w:val="22"/>
          <w:szCs w:val="22"/>
        </w:rPr>
      </w:r>
      <w:r>
        <w:rPr>
          <w:rFonts w:eastAsia="Arial Unicode MS" w:cs="Arial"/>
          <w:sz w:val="22"/>
          <w:szCs w:val="22"/>
        </w:rPr>
      </w:r>
      <w:r w:rsidRPr="00B95D8E">
        <w:rPr>
          <w:rFonts w:eastAsia="Arial Unicode MS" w:cs="Arial"/>
          <w:sz w:val="22"/>
          <w:szCs w:val="22"/>
        </w:rPr>
      </w:r>
      <w:r>
        <w:rPr>
          <w:rFonts w:eastAsia="Arial Unicode MS" w:cs="Arial"/>
          <w:sz w:val="22"/>
          <w:szCs w:val="22"/>
        </w:rPr>
      </w:r>
      <w:r w:rsidRPr="00B95D8E">
        <w:rPr>
          <w:rFonts w:eastAsia="Arial Unicode MS" w:cs="Arial"/>
          <w:sz w:val="22"/>
          <w:szCs w:val="22"/>
        </w:rPr>
      </w:r>
      <w:r w:rsidRPr="00B95D8E">
        <w:rPr>
          <w:rFonts w:cs="Arial"/>
          <w:sz w:val="22"/>
          <w:szCs w:val="22"/>
        </w:rPr>
      </w:r>
      <w:r>
        <w:rPr>
          <w:rFonts w:cs="Arial"/>
          <w:sz w:val="22"/>
          <w:szCs w:val="22"/>
        </w:rPr>
      </w:r>
      <w:r w:rsidRPr="00B95D8E">
        <w:rPr>
          <w:rFonts w:cs="Arial"/>
          <w:sz w:val="22"/>
          <w:szCs w:val="22"/>
        </w:rPr>
      </w:r>
    </w:p>
    <w:p w14:paraId="653BAF67" w14:textId="77777777" w:rsidR="00B95D8E" w:rsidRPr="00B95D8E" w:rsidRDefault="00B95D8E" w:rsidP="00B95D8E">
      <w:pPr>
        <w:pStyle w:val="Textoindependiente"/>
        <w:jc w:val="both"/>
        <w:rPr>
          <w:rFonts w:cs="Arial"/>
          <w:sz w:val="22"/>
          <w:szCs w:val="22"/>
        </w:rPr>
      </w:pPr>
    </w:p>
    <w:p w14:paraId="3DC4DD15" w14:textId="77777777" w:rsidR="00B95D8E" w:rsidRPr="00B95D8E" w:rsidRDefault="00B95D8E" w:rsidP="00B95D8E">
      <w:pPr>
        <w:pStyle w:val="Textoindependiente"/>
        <w:jc w:val="both"/>
        <w:rPr>
          <w:rFonts w:cs="Arial"/>
          <w:sz w:val="22"/>
          <w:szCs w:val="22"/>
        </w:rPr>
      </w:pPr>
      <w:r w:rsidRPr="00B95D8E">
        <w:rPr>
          <w:rFonts w:cs="Arial"/>
          <w:sz w:val="22"/>
          <w:szCs w:val="22"/>
        </w:rPr>
        <w:t xml:space="preserve">Solicita la parte accionante al Honorable Despacho a través de acción constitucional lo siguiente: </w:t>
      </w:r>
    </w:p>
    <w:p w14:paraId="2B839459" w14:textId="77777777" w:rsidR="00FF667B" w:rsidRPr="00B95D8E" w:rsidRDefault="00FF667B" w:rsidP="00B95D8E">
      <w:pPr>
        <w:pStyle w:val="Textoindependiente"/>
        <w:jc w:val="both"/>
        <w:rPr>
          <w:rFonts w:cs="Arial"/>
          <w:sz w:val="22"/>
          <w:szCs w:val="22"/>
          <w:highlight w:val="yellow"/>
        </w:rPr>
      </w:pPr>
    </w:p>
    <w:p w14:paraId="71DEF704" w14:textId="1453EA4F" w:rsidR="00CA5BFA" w:rsidRDefault="00B95D8E" w:rsidP="00B95D8E">
      <w:pPr>
        <w:pStyle w:val="Textoindependiente"/>
        <w:jc w:val="center"/>
        <w:rPr>
          <w:rFonts w:cs="Arial"/>
          <w:sz w:val="22"/>
          <w:szCs w:val="22"/>
          <w:highlight w:val="yellow"/>
        </w:rPr>
      </w:pPr>
      <w:r>
        <w:rPr>
          <w:noProof/>
        </w:rPr>
        <w:lastRenderedPageBreak/>
        <w:drawing>
          <wp:inline distT="0" distB="0" distL="0" distR="0" wp14:anchorId="725096F6" wp14:editId="0A91E5DE">
            <wp:extent cx="4971429" cy="1819048"/>
            <wp:effectExtent l="19050" t="19050" r="19685" b="10160"/>
            <wp:docPr id="1401107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07110" name="Imagen 1"/>
                    <pic:cNvPicPr/>
                  </pic:nvPicPr>
                  <pic:blipFill>
                    <a:blip r:embed="rId12"/>
                    <a:stretch>
                      <a:fillRect/>
                    </a:stretch>
                  </pic:blipFill>
                  <pic:spPr>
                    <a:xfrm>
                      <a:off x="0" y="0"/>
                      <a:ext cx="4971429" cy="1819048"/>
                    </a:xfrm>
                    <a:prstGeom prst="rect">
                      <a:avLst/>
                    </a:prstGeom>
                    <a:ln w="12700">
                      <a:solidFill>
                        <a:schemeClr val="tx1"/>
                      </a:solidFill>
                    </a:ln>
                  </pic:spPr>
                </pic:pic>
              </a:graphicData>
            </a:graphic>
          </wp:inline>
        </w:drawing>
      </w:r>
    </w:p>
    <w:p w14:paraId="67BA9769" w14:textId="7DF7A03E" w:rsidR="00B95D8E" w:rsidRPr="00B95D8E" w:rsidRDefault="00B95D8E" w:rsidP="00B95D8E">
      <w:pPr>
        <w:pStyle w:val="Textoindependiente"/>
        <w:jc w:val="center"/>
        <w:rPr>
          <w:rFonts w:cs="Arial"/>
          <w:sz w:val="22"/>
          <w:szCs w:val="22"/>
          <w:highlight w:val="yellow"/>
        </w:rPr>
      </w:pPr>
      <w:r>
        <w:rPr>
          <w:noProof/>
        </w:rPr>
        <w:drawing>
          <wp:inline distT="0" distB="0" distL="0" distR="0" wp14:anchorId="1FCB68A1" wp14:editId="19634FB1">
            <wp:extent cx="4961905" cy="1133333"/>
            <wp:effectExtent l="19050" t="19050" r="10160" b="10160"/>
            <wp:docPr id="1024546830"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46830" name="Imagen 1" descr="Texto&#10;&#10;Descripción generada automáticamente"/>
                    <pic:cNvPicPr/>
                  </pic:nvPicPr>
                  <pic:blipFill>
                    <a:blip r:embed="rId13"/>
                    <a:stretch>
                      <a:fillRect/>
                    </a:stretch>
                  </pic:blipFill>
                  <pic:spPr>
                    <a:xfrm>
                      <a:off x="0" y="0"/>
                      <a:ext cx="4961905" cy="1133333"/>
                    </a:xfrm>
                    <a:prstGeom prst="rect">
                      <a:avLst/>
                    </a:prstGeom>
                    <a:ln w="12700">
                      <a:solidFill>
                        <a:schemeClr val="tx1"/>
                      </a:solidFill>
                    </a:ln>
                  </pic:spPr>
                </pic:pic>
              </a:graphicData>
            </a:graphic>
          </wp:inline>
        </w:drawing>
      </w:r>
    </w:p>
    <w:p w14:paraId="11B748BF" w14:textId="77777777" w:rsidR="00CA5BFA" w:rsidRPr="00B95D8E" w:rsidRDefault="00CA5BFA" w:rsidP="00B20789">
      <w:pPr>
        <w:pStyle w:val="Textoindependiente"/>
        <w:jc w:val="both"/>
        <w:rPr>
          <w:rFonts w:cs="Arial"/>
          <w:sz w:val="22"/>
          <w:szCs w:val="22"/>
          <w:highlight w:val="yellow"/>
        </w:rPr>
      </w:pPr>
    </w:p>
    <w:p w14:paraId="1A3FC612" w14:textId="4FCC97EA" w:rsidR="00B95D8E" w:rsidRDefault="00B95D8E" w:rsidP="00B95D8E">
      <w:pPr>
        <w:pStyle w:val="Textoindependiente"/>
        <w:jc w:val="both"/>
        <w:rPr>
          <w:rFonts w:cs="Arial"/>
          <w:sz w:val="22"/>
          <w:szCs w:val="22"/>
        </w:rPr>
      </w:pPr>
      <w:r w:rsidRPr="00B95D8E">
        <w:rPr>
          <w:rFonts w:cs="Arial"/>
          <w:sz w:val="22"/>
          <w:szCs w:val="22"/>
        </w:rPr>
        <w:t xml:space="preserve">Femenina de 12 años conocida por enfermedad huérfana de trastorno de trasporte de aminoácidos en manejo con especialistas quienes realizan controles clínicos, estudios de laboratorio, imágenes, pruebas, tratamiento medicamentoso y no medicamentoso,  todos los servicios autorizados y prestados por EPS Sura con calidad, oportunidad y seguridad con el objeto de minimizar los riesgos en salud propios de la enfermedad, en cumplimiento a la normatividad vigente en salud y a lineamientos del </w:t>
      </w:r>
      <w:r>
        <w:rPr>
          <w:rFonts w:cs="Arial"/>
          <w:sz w:val="22"/>
          <w:szCs w:val="22"/>
        </w:rPr>
        <w:t>M</w:t>
      </w:r>
      <w:r w:rsidRPr="00B95D8E">
        <w:rPr>
          <w:rFonts w:cs="Arial"/>
          <w:sz w:val="22"/>
          <w:szCs w:val="22"/>
        </w:rPr>
        <w:t xml:space="preserve">inisterio de </w:t>
      </w:r>
      <w:r>
        <w:rPr>
          <w:rFonts w:cs="Arial"/>
          <w:sz w:val="22"/>
          <w:szCs w:val="22"/>
        </w:rPr>
        <w:t>S</w:t>
      </w:r>
      <w:r w:rsidRPr="00B95D8E">
        <w:rPr>
          <w:rFonts w:cs="Arial"/>
          <w:sz w:val="22"/>
          <w:szCs w:val="22"/>
        </w:rPr>
        <w:t>alud</w:t>
      </w:r>
      <w:r>
        <w:rPr>
          <w:rFonts w:cs="Arial"/>
          <w:sz w:val="22"/>
          <w:szCs w:val="22"/>
        </w:rPr>
        <w:t>.</w:t>
      </w:r>
    </w:p>
    <w:p w14:paraId="634701AA" w14:textId="77777777" w:rsidR="00B95D8E" w:rsidRPr="00B95D8E" w:rsidRDefault="00B95D8E" w:rsidP="00B95D8E">
      <w:pPr>
        <w:pStyle w:val="Textoindependiente"/>
        <w:jc w:val="both"/>
        <w:rPr>
          <w:rFonts w:cs="Arial"/>
          <w:sz w:val="22"/>
          <w:szCs w:val="22"/>
        </w:rPr>
      </w:pPr>
    </w:p>
    <w:p w14:paraId="1B9E5165" w14:textId="75C2BF7F" w:rsidR="00B95D8E" w:rsidRDefault="00B95D8E" w:rsidP="00B95D8E">
      <w:pPr>
        <w:pStyle w:val="Textoindependiente"/>
        <w:jc w:val="both"/>
        <w:rPr>
          <w:rFonts w:cs="Arial"/>
          <w:sz w:val="22"/>
          <w:szCs w:val="22"/>
        </w:rPr>
      </w:pPr>
      <w:r w:rsidRPr="00B95D8E">
        <w:rPr>
          <w:rFonts w:cs="Arial"/>
          <w:sz w:val="22"/>
          <w:szCs w:val="22"/>
        </w:rPr>
        <w:t xml:space="preserve">Interpone acción de tutela, informa no entrega de medicamento fdsfdsfdsfdsf, el cual viene recibiendo desde el año 2021, cuenta con autorización vigente para este con el No</w:t>
      </w:r>
      <w:r w:rsidR="00E850EF" w:rsidRPr="00B95D8E">
        <w:rPr>
          <w:rFonts w:cs="Arial"/>
          <w:sz w:val="22"/>
          <w:szCs w:val="22"/>
        </w:rPr>
      </w:r>
      <w:r w:rsidRPr="00B95D8E">
        <w:rPr>
          <w:rFonts w:cs="Arial"/>
          <w:sz w:val="22"/>
          <w:szCs w:val="22"/>
        </w:rPr>
      </w:r>
      <w:r w:rsidR="00E850EF">
        <w:rPr>
          <w:rFonts w:cs="Arial"/>
          <w:sz w:val="22"/>
          <w:szCs w:val="22"/>
        </w:rPr>
      </w:r>
      <w:r w:rsidRPr="00B95D8E">
        <w:rPr>
          <w:rFonts w:cs="Arial"/>
          <w:sz w:val="22"/>
          <w:szCs w:val="22"/>
        </w:rPr>
      </w:r>
      <w:r w:rsidRPr="00B95D8E">
        <w:rPr>
          <w:rFonts w:cs="Arial"/>
          <w:sz w:val="22"/>
          <w:szCs w:val="22"/>
        </w:rPr>
      </w:r>
      <w:r w:rsidRPr="00B95D8E">
        <w:rPr>
          <w:rFonts w:cs="Arial"/>
          <w:sz w:val="22"/>
          <w:szCs w:val="22"/>
        </w:rPr>
      </w:r>
    </w:p>
    <w:p w14:paraId="77B641BD" w14:textId="77777777" w:rsidR="00B95D8E" w:rsidRPr="00B95D8E" w:rsidRDefault="00B95D8E" w:rsidP="00B95D8E">
      <w:pPr>
        <w:pStyle w:val="Textoindependiente"/>
        <w:jc w:val="both"/>
        <w:rPr>
          <w:rFonts w:cs="Arial"/>
          <w:sz w:val="22"/>
          <w:szCs w:val="22"/>
        </w:rPr>
      </w:pPr>
    </w:p>
    <w:p w14:paraId="73DBD5E0" w14:textId="77777777" w:rsidR="00B95D8E" w:rsidRDefault="00B95D8E" w:rsidP="00B95D8E">
      <w:pPr>
        <w:pStyle w:val="Textoindependiente"/>
        <w:jc w:val="both"/>
        <w:rPr>
          <w:rFonts w:cs="Arial"/>
          <w:sz w:val="22"/>
          <w:szCs w:val="22"/>
        </w:rPr>
      </w:pPr>
      <w:r w:rsidRPr="00B95D8E">
        <w:rPr>
          <w:rFonts w:cs="Arial"/>
          <w:sz w:val="22"/>
          <w:szCs w:val="22"/>
        </w:rPr>
        <w:t xml:space="preserve">[NUMERO_AUTORIZACION]2024-11-06 10:11:1730336-fdsfdsfdsfdsf[DIAGNOSTICO]dsfdsfdsfCTCACTIVIDADNI 900397066 UNO HEALTHCARE S.A.S</w:t>
        <w:tab/>
        <w:t/>
        <w:tab/>
        <w:t/>
        <w:tab/>
        <w:t/>
        <w:tab/>
        <w:t/>
        <w:tab/>
        <w:t/>
        <w:tab/>
        <w:t/>
        <w:tab/>
        <w:t/>
        <w:tab/>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p>
    <w:p w14:paraId="23A553A7" w14:textId="66E17F41" w:rsidR="00B95D8E" w:rsidRPr="00B95D8E" w:rsidRDefault="00B95D8E" w:rsidP="00B95D8E">
      <w:pPr>
        <w:pStyle w:val="Textoindependiente"/>
        <w:jc w:val="both"/>
        <w:rPr>
          <w:rFonts w:cs="Arial"/>
          <w:sz w:val="22"/>
          <w:szCs w:val="22"/>
        </w:rPr>
      </w:pPr>
      <w:r w:rsidRPr="00B95D8E">
        <w:rPr>
          <w:rFonts w:cs="Arial"/>
          <w:sz w:val="22"/>
          <w:szCs w:val="22"/>
        </w:rPr>
        <w:tab/>
      </w:r>
    </w:p>
    <w:p w14:paraId="1886FDD8" w14:textId="77777777" w:rsidR="00B95D8E" w:rsidRDefault="00B95D8E" w:rsidP="00B95D8E">
      <w:pPr>
        <w:pStyle w:val="Textoindependiente"/>
        <w:jc w:val="both"/>
        <w:rPr>
          <w:rFonts w:cs="Arial"/>
          <w:sz w:val="22"/>
          <w:szCs w:val="22"/>
        </w:rPr>
      </w:pPr>
      <w:r w:rsidRPr="00B95D8E">
        <w:rPr>
          <w:rFonts w:cs="Arial"/>
          <w:sz w:val="22"/>
          <w:szCs w:val="22"/>
        </w:rPr>
        <w:t xml:space="preserve">139609-191692102024-10-31 12:34:2329359-fdsfdsfdsfdsf[DIAGNOSTICO]ENTREGADACTCACTIVIDADNI 900099945 GLOBAL SERVICE PHARMACEUTICAL BARRANQUILLA</w:t>
        <w:tab/>
        <w:t/>
        <w:tab/>
        <w:t/>
        <w:tab/>
        <w:t/>
        <w:tab/>
        <w:t/>
        <w:tab/>
        <w:t/>
        <w:tab/>
        <w:t/>
        <w:tab/>
        <w:t/>
        <w:tab/>
        <w:tab/>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r w:rsidRPr="00B95D8E">
        <w:rPr>
          <w:rFonts w:cs="Arial"/>
          <w:sz w:val="22"/>
          <w:szCs w:val="22"/>
        </w:rPr>
      </w:r>
    </w:p>
    <w:p w14:paraId="6515E525" w14:textId="77777777" w:rsidR="009273FD" w:rsidRDefault="009273FD" w:rsidP="00B95D8E">
      <w:pPr>
        <w:pStyle w:val="Textoindependiente"/>
        <w:jc w:val="both"/>
        <w:rPr>
          <w:rFonts w:cs="Arial"/>
          <w:sz w:val="22"/>
          <w:szCs w:val="22"/>
        </w:rPr>
      </w:pPr>
    </w:p>
    <w:p w14:paraId="4FF99A57" w14:textId="77777777" w:rsidR="009273FD" w:rsidRDefault="009273FD" w:rsidP="009273FD">
      <w:pPr>
        <w:pStyle w:val="Textoindependiente"/>
        <w:jc w:val="both"/>
        <w:rPr>
          <w:rFonts w:cs="Arial"/>
          <w:sz w:val="22"/>
          <w:szCs w:val="22"/>
        </w:rPr>
      </w:pPr>
      <w:r w:rsidRPr="009273FD">
        <w:rPr>
          <w:rFonts w:cs="Arial"/>
          <w:sz w:val="22"/>
          <w:szCs w:val="22"/>
        </w:rPr>
        <w:t>Se realiza gestión del caso en la cual se evidencia que el medicamento se encuentra generado bajo el número de autorización que a continuación se relaciona.  Así las cosas, se realiza acercamiento con el prestador quienes informan: “</w:t>
      </w:r>
      <w:r w:rsidRPr="009273FD">
        <w:rPr>
          <w:rFonts w:cs="Arial"/>
          <w:i/>
          <w:iCs/>
          <w:sz w:val="22"/>
          <w:szCs w:val="22"/>
        </w:rPr>
        <w:t xml:space="preserve">El medicamento ya fue comprado y el proveedor nos hace entrega el </w:t>
      </w:r>
      <w:r w:rsidRPr="00E850EF">
        <w:rPr>
          <w:rFonts w:cs="Arial"/>
          <w:b/>
          <w:bCs/>
          <w:i/>
          <w:iCs/>
          <w:sz w:val="22"/>
          <w:szCs w:val="22"/>
          <w:u w:val="single"/>
        </w:rPr>
        <w:t>martes de la próxima semana</w:t>
      </w:r>
      <w:r w:rsidRPr="009273FD">
        <w:rPr>
          <w:rFonts w:cs="Arial"/>
          <w:i/>
          <w:iCs/>
          <w:sz w:val="22"/>
          <w:szCs w:val="22"/>
        </w:rPr>
        <w:t>, una vez lo entreguen se lo enviamos a la paciente</w:t>
      </w:r>
      <w:r w:rsidRPr="009273FD">
        <w:rPr>
          <w:rFonts w:cs="Arial"/>
          <w:sz w:val="22"/>
          <w:szCs w:val="22"/>
        </w:rPr>
        <w:t>”</w:t>
      </w:r>
    </w:p>
    <w:p w14:paraId="22E75017" w14:textId="77777777" w:rsidR="009273FD" w:rsidRPr="009273FD" w:rsidRDefault="009273FD" w:rsidP="009273FD">
      <w:pPr>
        <w:pStyle w:val="Textoindependiente"/>
        <w:jc w:val="both"/>
        <w:rPr>
          <w:rFonts w:cs="Arial"/>
          <w:sz w:val="22"/>
          <w:szCs w:val="22"/>
        </w:rPr>
      </w:pPr>
    </w:p>
    <w:p w14:paraId="35A2DA9E" w14:textId="77777777" w:rsidR="009273FD" w:rsidRPr="009273FD" w:rsidRDefault="009273FD" w:rsidP="009273FD">
      <w:pPr>
        <w:pStyle w:val="Textoindependiente"/>
        <w:jc w:val="both"/>
        <w:rPr>
          <w:rFonts w:cs="Arial"/>
          <w:sz w:val="22"/>
          <w:szCs w:val="22"/>
        </w:rPr>
      </w:pPr>
      <w:r w:rsidRPr="009273FD">
        <w:rPr>
          <w:rFonts w:cs="Arial"/>
          <w:sz w:val="22"/>
          <w:szCs w:val="22"/>
        </w:rPr>
        <w:t xml:space="preserve">139609-191692 1 02024/10/31ENTREGADA29359-fdsfdsfdsfdsf[DIAGNOSTICO]CTCACTIVIDADdfdsfdsf</w:t>
        <w:tab/>
        <w:t/>
        <w:tab/>
        <w:t/>
        <w:tab/>
        <w:t/>
        <w:tab/>
        <w:t/>
        <w:tab/>
        <w:t/>
        <w:tab/>
        <w:t/>
        <w:tab/>
        <w:t/>
      </w:r>
      <w:r w:rsidRPr="009273FD">
        <w:rPr>
          <w:rFonts w:cs="Arial"/>
          <w:sz w:val="22"/>
          <w:szCs w:val="22"/>
        </w:rPr>
      </w:r>
      <w:r w:rsidRPr="009273FD">
        <w:rPr>
          <w:rFonts w:cs="Arial"/>
          <w:sz w:val="22"/>
          <w:szCs w:val="22"/>
        </w:rPr>
      </w:r>
      <w:r w:rsidRPr="009273FD">
        <w:rPr>
          <w:rFonts w:cs="Arial"/>
          <w:sz w:val="22"/>
          <w:szCs w:val="22"/>
        </w:rPr>
      </w:r>
      <w:r w:rsidRPr="009273FD">
        <w:rPr>
          <w:rFonts w:cs="Arial"/>
          <w:sz w:val="22"/>
          <w:szCs w:val="22"/>
        </w:rPr>
      </w:r>
      <w:r w:rsidRPr="009273FD">
        <w:rPr>
          <w:rFonts w:cs="Arial"/>
          <w:sz w:val="22"/>
          <w:szCs w:val="22"/>
        </w:rPr>
      </w:r>
      <w:r w:rsidRPr="009273FD">
        <w:rPr>
          <w:rFonts w:cs="Arial"/>
          <w:sz w:val="22"/>
          <w:szCs w:val="22"/>
        </w:rPr>
      </w:r>
      <w:r w:rsidRPr="009273FD">
        <w:rPr>
          <w:rFonts w:cs="Arial"/>
          <w:sz w:val="22"/>
          <w:szCs w:val="22"/>
        </w:rPr>
      </w:r>
    </w:p>
    <w:p w14:paraId="43A99F2A" w14:textId="77777777" w:rsidR="009273FD" w:rsidRPr="009273FD" w:rsidRDefault="009273FD" w:rsidP="009273FD">
      <w:pPr>
        <w:pStyle w:val="Textoindependiente"/>
        <w:jc w:val="both"/>
        <w:rPr>
          <w:rFonts w:cs="Arial"/>
          <w:sz w:val="22"/>
          <w:szCs w:val="22"/>
        </w:rPr>
      </w:pPr>
    </w:p>
    <w:p w14:paraId="4FB77F98" w14:textId="531FAFF5" w:rsidR="009273FD" w:rsidRPr="009273FD" w:rsidRDefault="009273FD" w:rsidP="009273FD">
      <w:pPr>
        <w:pStyle w:val="Textoindependiente"/>
        <w:rPr>
          <w:rFonts w:cs="Arial"/>
          <w:sz w:val="22"/>
          <w:szCs w:val="22"/>
        </w:rPr>
      </w:pPr>
      <w:r w:rsidRPr="009273FD">
        <w:rPr>
          <w:rFonts w:cs="Arial"/>
          <w:sz w:val="22"/>
          <w:szCs w:val="22"/>
        </w:rPr>
        <w:t xml:space="preserve">Se solicita vincular al prestador dfdsfdsf para que brinde una pronta entrega de medicamentos para la usuaria.</w:t>
      </w:r>
      <w:r w:rsidRPr="009273FD">
        <w:rPr>
          <w:rFonts w:cs="Arial"/>
          <w:b/>
          <w:bCs/>
          <w:sz w:val="22"/>
          <w:szCs w:val="22"/>
        </w:rPr>
      </w:r>
      <w:r w:rsidRPr="009273FD">
        <w:rPr>
          <w:rFonts w:cs="Arial"/>
          <w:sz w:val="22"/>
          <w:szCs w:val="22"/>
        </w:rPr>
      </w:r>
      <w:r w:rsidRPr="009273FD">
        <w:rPr>
          <w:rFonts w:cs="Arial"/>
          <w:b/>
          <w:bCs/>
          <w:sz w:val="22"/>
          <w:szCs w:val="22"/>
        </w:rPr>
      </w:r>
      <w:r w:rsidRPr="009273FD">
        <w:rPr>
          <w:rFonts w:cs="Arial"/>
          <w:sz w:val="22"/>
          <w:szCs w:val="22"/>
        </w:rPr>
      </w:r>
      <w:r w:rsidRPr="009273FD">
        <w:rPr>
          <w:rFonts w:cs="Arial"/>
          <w:sz w:val="22"/>
          <w:szCs w:val="22"/>
        </w:rPr>
      </w:r>
      <w:r>
        <w:rPr>
          <w:rFonts w:cs="Arial"/>
          <w:sz w:val="22"/>
          <w:szCs w:val="22"/>
        </w:rPr>
      </w:r>
      <w:r w:rsidRPr="009273FD">
        <w:rPr>
          <w:rFonts w:cs="Arial"/>
          <w:sz w:val="22"/>
          <w:szCs w:val="22"/>
        </w:rPr>
      </w:r>
      <w:r>
        <w:rPr>
          <w:rFonts w:cs="Arial"/>
          <w:sz w:val="22"/>
          <w:szCs w:val="22"/>
        </w:rPr>
      </w:r>
      <w:r w:rsidRPr="009273FD">
        <w:rPr>
          <w:rFonts w:cs="Arial"/>
          <w:sz w:val="22"/>
          <w:szCs w:val="22"/>
        </w:rPr>
      </w:r>
      <w:r w:rsidRPr="009273FD">
        <w:rPr>
          <w:rFonts w:cs="Arial"/>
          <w:sz w:val="22"/>
          <w:szCs w:val="22"/>
        </w:rPr>
      </w:r>
    </w:p>
    <w:p w14:paraId="3DCF8724" w14:textId="77777777" w:rsidR="009273FD" w:rsidRDefault="009273FD" w:rsidP="009273FD">
      <w:pPr>
        <w:pStyle w:val="Textoindependiente"/>
        <w:jc w:val="both"/>
        <w:rPr>
          <w:rFonts w:cs="Arial"/>
          <w:sz w:val="22"/>
          <w:szCs w:val="22"/>
        </w:rPr>
      </w:pPr>
    </w:p>
    <w:p w14:paraId="114D9F94" w14:textId="66148F6F" w:rsidR="009273FD" w:rsidRDefault="009273FD" w:rsidP="009273FD">
      <w:pPr>
        <w:pStyle w:val="Textoindependiente"/>
        <w:jc w:val="both"/>
        <w:rPr>
          <w:rFonts w:cs="Arial"/>
          <w:sz w:val="22"/>
          <w:szCs w:val="22"/>
        </w:rPr>
      </w:pPr>
      <w:r w:rsidRPr="009273FD">
        <w:rPr>
          <w:rFonts w:cs="Arial"/>
          <w:sz w:val="22"/>
          <w:szCs w:val="22"/>
        </w:rPr>
        <w:t>Se adjunta autorización generada e historial de atenciones.</w:t>
      </w:r>
    </w:p>
    <w:p w14:paraId="0F38F9F0" w14:textId="77777777" w:rsidR="00B95D8E" w:rsidRPr="00B95D8E" w:rsidRDefault="00B95D8E" w:rsidP="00B95D8E">
      <w:pPr>
        <w:pStyle w:val="Textoindependiente"/>
        <w:jc w:val="both"/>
        <w:rPr>
          <w:rFonts w:cs="Arial"/>
          <w:sz w:val="22"/>
          <w:szCs w:val="22"/>
        </w:rPr>
      </w:pPr>
    </w:p>
    <w:p w14:paraId="5AE7100C" w14:textId="37156B01" w:rsidR="00B95D8E" w:rsidRDefault="00B95D8E" w:rsidP="00B95D8E">
      <w:pPr>
        <w:pStyle w:val="Textoindependiente"/>
        <w:jc w:val="both"/>
        <w:rPr>
          <w:rFonts w:cs="Arial"/>
          <w:sz w:val="22"/>
          <w:szCs w:val="22"/>
        </w:rPr>
      </w:pPr>
      <w:r w:rsidRPr="00B95D8E">
        <w:rPr>
          <w:rFonts w:cs="Arial"/>
          <w:sz w:val="22"/>
          <w:szCs w:val="22"/>
        </w:rPr>
        <w:t xml:space="preserve">Es importante aclarar que este </w:t>
      </w:r>
      <w:r w:rsidRPr="009273FD">
        <w:rPr>
          <w:rFonts w:cs="Arial"/>
          <w:b/>
          <w:bCs/>
          <w:sz w:val="22"/>
          <w:szCs w:val="22"/>
          <w:u w:val="single"/>
        </w:rPr>
        <w:t>medicamento importado</w:t>
      </w:r>
      <w:r w:rsidRPr="00B95D8E">
        <w:rPr>
          <w:rFonts w:cs="Arial"/>
          <w:sz w:val="22"/>
          <w:szCs w:val="22"/>
        </w:rPr>
        <w:t xml:space="preserve"> no está incluido dentro del Plan de Beneficios en Salud</w:t>
      </w:r>
      <w:r w:rsidR="009273FD">
        <w:rPr>
          <w:rFonts w:cs="Arial"/>
          <w:sz w:val="22"/>
          <w:szCs w:val="22"/>
        </w:rPr>
        <w:t>,</w:t>
      </w:r>
      <w:r w:rsidRPr="00B95D8E">
        <w:rPr>
          <w:rFonts w:cs="Arial"/>
          <w:sz w:val="22"/>
          <w:szCs w:val="22"/>
        </w:rPr>
        <w:t xml:space="preserve"> esto significa que se trata de un servicio de salud que su financiación no se hace con cargo a la unidad de pago por capitación (UPC) sino bajo el mecanismo de Presupuestos Máximos (PM), establecido por la Ley 1955 de 2019, la cual establece que, la asignación de un límite financiero por parte del Estado a las Entidades Promotoras de Salud (EPS) para cubrir los servicios, medicamentos y tecnologías que no están incluidos en el PBS, pero que son requeridos por los pacientes y ordenados por los médicos tratantes. Por lo tanto, es responsabilidad de financiación de las tecnologías no incluidas en el Plan de beneficios en Salid el Estado a través del Ministerio de Salud y la Protección Social (MSPS) y la ADRES.</w:t>
      </w:r>
    </w:p>
    <w:p w14:paraId="2DC06A27" w14:textId="77777777" w:rsidR="00B95D8E" w:rsidRPr="00B95D8E" w:rsidRDefault="00B95D8E" w:rsidP="00B95D8E">
      <w:pPr>
        <w:pStyle w:val="Textoindependiente"/>
        <w:jc w:val="both"/>
        <w:rPr>
          <w:rFonts w:cs="Arial"/>
          <w:sz w:val="22"/>
          <w:szCs w:val="22"/>
        </w:rPr>
      </w:pPr>
    </w:p>
    <w:p w14:paraId="6D5F86FB" w14:textId="77777777" w:rsidR="00B95D8E" w:rsidRDefault="00B95D8E" w:rsidP="00B95D8E">
      <w:pPr>
        <w:pStyle w:val="Textoindependiente"/>
        <w:jc w:val="both"/>
        <w:rPr>
          <w:rFonts w:cs="Arial"/>
          <w:sz w:val="22"/>
          <w:szCs w:val="22"/>
        </w:rPr>
      </w:pPr>
      <w:r w:rsidRPr="00B95D8E">
        <w:rPr>
          <w:rFonts w:cs="Arial"/>
          <w:sz w:val="22"/>
          <w:szCs w:val="22"/>
        </w:rPr>
        <w:t>Por todo lo anterior, como aseguradoras y responsables de la autorización de servicios de salud, procedimos con la autorización correspondiente al servicio dicha prestación fue direccionada para el  prestador global quien en el momento nos refiere que tiene los servicios suspendidos por el atraso en el pago de presupuestos máximos bajo la modalidad del giro directo desde el Adres a la IPS, Que a pesar del pago que se hizo de los meses de agosto y septiembre, la cartera en mora continúa siendo demasiado alta por ello ha suspendido los tramite de importación de medicamentos</w:t>
      </w:r>
    </w:p>
    <w:p w14:paraId="47E98A47" w14:textId="77777777" w:rsidR="00B95D8E" w:rsidRPr="00B95D8E" w:rsidRDefault="00B95D8E" w:rsidP="00B95D8E">
      <w:pPr>
        <w:pStyle w:val="Textoindependiente"/>
        <w:jc w:val="both"/>
        <w:rPr>
          <w:rFonts w:cs="Arial"/>
          <w:sz w:val="22"/>
          <w:szCs w:val="22"/>
        </w:rPr>
      </w:pPr>
    </w:p>
    <w:p w14:paraId="04CA373C" w14:textId="048815E9" w:rsidR="00B95D8E" w:rsidRPr="00B95D8E" w:rsidRDefault="00B95D8E" w:rsidP="00B95D8E">
      <w:pPr>
        <w:pStyle w:val="Textoindependiente"/>
        <w:jc w:val="both"/>
        <w:rPr>
          <w:rFonts w:cs="Arial"/>
          <w:sz w:val="22"/>
          <w:szCs w:val="22"/>
        </w:rPr>
      </w:pPr>
      <w:r w:rsidRPr="00B95D8E">
        <w:rPr>
          <w:rFonts w:cs="Arial"/>
          <w:sz w:val="22"/>
          <w:szCs w:val="22"/>
        </w:rPr>
        <w:t xml:space="preserve">En aras de buscar </w:t>
      </w:r>
      <w:r w:rsidRPr="00B95D8E">
        <w:rPr>
          <w:rFonts w:cs="Arial"/>
          <w:sz w:val="22"/>
          <w:szCs w:val="22"/>
        </w:rPr>
        <w:t>solución</w:t>
      </w:r>
      <w:r w:rsidRPr="00B95D8E">
        <w:rPr>
          <w:rFonts w:cs="Arial"/>
          <w:sz w:val="22"/>
          <w:szCs w:val="22"/>
        </w:rPr>
        <w:t xml:space="preserve"> al caso es importante solicitar </w:t>
      </w:r>
      <w:r w:rsidR="009273FD">
        <w:rPr>
          <w:rFonts w:cs="Arial"/>
          <w:sz w:val="22"/>
          <w:szCs w:val="22"/>
        </w:rPr>
        <w:t>al Honorable Despacho requerir</w:t>
      </w:r>
      <w:r w:rsidRPr="00B95D8E">
        <w:rPr>
          <w:rFonts w:cs="Arial"/>
          <w:sz w:val="22"/>
          <w:szCs w:val="22"/>
        </w:rPr>
        <w:t xml:space="preserve"> a la madre de la menor asista a las consultas para programa de Enfermedades huérfanas en el </w:t>
      </w:r>
      <w:r w:rsidR="009273FD">
        <w:rPr>
          <w:rFonts w:cs="Arial"/>
          <w:sz w:val="22"/>
          <w:szCs w:val="22"/>
        </w:rPr>
        <w:t>H</w:t>
      </w:r>
      <w:r w:rsidRPr="00B95D8E">
        <w:rPr>
          <w:rFonts w:cs="Arial"/>
          <w:sz w:val="22"/>
          <w:szCs w:val="22"/>
        </w:rPr>
        <w:t>ospital Pablo Tob</w:t>
      </w:r>
      <w:r w:rsidR="009273FD">
        <w:rPr>
          <w:rFonts w:cs="Arial"/>
          <w:sz w:val="22"/>
          <w:szCs w:val="22"/>
        </w:rPr>
        <w:t>ó</w:t>
      </w:r>
      <w:r w:rsidRPr="00B95D8E">
        <w:rPr>
          <w:rFonts w:cs="Arial"/>
          <w:sz w:val="22"/>
          <w:szCs w:val="22"/>
        </w:rPr>
        <w:t>n Uribe de la ciudad de Medellín</w:t>
      </w:r>
      <w:r w:rsidR="009273FD">
        <w:rPr>
          <w:rFonts w:cs="Arial"/>
          <w:sz w:val="22"/>
          <w:szCs w:val="22"/>
        </w:rPr>
        <w:t>,</w:t>
      </w:r>
      <w:r w:rsidRPr="00B95D8E">
        <w:rPr>
          <w:rFonts w:cs="Arial"/>
          <w:sz w:val="22"/>
          <w:szCs w:val="22"/>
        </w:rPr>
        <w:t xml:space="preserve"> pues actualmente la menor asiste a citas con especialistas en Bucaramanga pero esto</w:t>
      </w:r>
      <w:r w:rsidR="009273FD">
        <w:rPr>
          <w:rFonts w:cs="Arial"/>
          <w:sz w:val="22"/>
          <w:szCs w:val="22"/>
        </w:rPr>
        <w:t>s</w:t>
      </w:r>
      <w:r w:rsidRPr="00B95D8E">
        <w:rPr>
          <w:rFonts w:cs="Arial"/>
          <w:sz w:val="22"/>
          <w:szCs w:val="22"/>
        </w:rPr>
        <w:t xml:space="preserve"> no son expertos ni cuenta</w:t>
      </w:r>
      <w:r w:rsidR="009273FD">
        <w:rPr>
          <w:rFonts w:cs="Arial"/>
          <w:sz w:val="22"/>
          <w:szCs w:val="22"/>
        </w:rPr>
        <w:t>n</w:t>
      </w:r>
      <w:r w:rsidRPr="00B95D8E">
        <w:rPr>
          <w:rFonts w:cs="Arial"/>
          <w:sz w:val="22"/>
          <w:szCs w:val="22"/>
        </w:rPr>
        <w:t xml:space="preserve"> con programa de </w:t>
      </w:r>
      <w:r w:rsidRPr="00B95D8E">
        <w:rPr>
          <w:rFonts w:cs="Arial"/>
          <w:sz w:val="22"/>
          <w:szCs w:val="22"/>
        </w:rPr>
        <w:t>atención</w:t>
      </w:r>
      <w:r w:rsidRPr="00B95D8E">
        <w:rPr>
          <w:rFonts w:cs="Arial"/>
          <w:sz w:val="22"/>
          <w:szCs w:val="22"/>
        </w:rPr>
        <w:t xml:space="preserve"> integral en enfermedades huérfanas</w:t>
      </w:r>
      <w:r w:rsidR="009273FD">
        <w:rPr>
          <w:rFonts w:cs="Arial"/>
          <w:sz w:val="22"/>
          <w:szCs w:val="22"/>
        </w:rPr>
        <w:t>,</w:t>
      </w:r>
      <w:r w:rsidRPr="00B95D8E">
        <w:rPr>
          <w:rFonts w:cs="Arial"/>
          <w:sz w:val="22"/>
          <w:szCs w:val="22"/>
        </w:rPr>
        <w:t xml:space="preserve"> por lo cual en aras de garantizar esta </w:t>
      </w:r>
      <w:r w:rsidRPr="00B95D8E">
        <w:rPr>
          <w:rFonts w:cs="Arial"/>
          <w:sz w:val="22"/>
          <w:szCs w:val="22"/>
        </w:rPr>
        <w:t>atención</w:t>
      </w:r>
      <w:r w:rsidRPr="00B95D8E">
        <w:rPr>
          <w:rFonts w:cs="Arial"/>
          <w:sz w:val="22"/>
          <w:szCs w:val="22"/>
        </w:rPr>
        <w:t xml:space="preserve"> integral y segura EPS Sura cuenta con convenio con el Hospital</w:t>
      </w:r>
      <w:r>
        <w:rPr>
          <w:rFonts w:cs="Arial"/>
          <w:sz w:val="22"/>
          <w:szCs w:val="22"/>
        </w:rPr>
        <w:t>.</w:t>
      </w:r>
    </w:p>
    <w:p w14:paraId="0AF9F2C8" w14:textId="77777777" w:rsidR="00B95D8E" w:rsidRDefault="00B95D8E" w:rsidP="00B95D8E">
      <w:pPr>
        <w:pStyle w:val="Textoindependiente"/>
        <w:jc w:val="both"/>
        <w:rPr>
          <w:rFonts w:cs="Arial"/>
          <w:sz w:val="22"/>
          <w:szCs w:val="22"/>
        </w:rPr>
      </w:pPr>
    </w:p>
    <w:p w14:paraId="652A402F" w14:textId="03231D99" w:rsidR="009B2847" w:rsidRDefault="00B95D8E" w:rsidP="00B95D8E">
      <w:pPr>
        <w:pStyle w:val="Textoindependiente"/>
        <w:jc w:val="both"/>
        <w:rPr>
          <w:rFonts w:cs="Arial"/>
          <w:sz w:val="22"/>
          <w:szCs w:val="22"/>
        </w:rPr>
      </w:pPr>
      <w:r>
        <w:rPr>
          <w:rFonts w:cs="Arial"/>
          <w:sz w:val="22"/>
          <w:szCs w:val="22"/>
        </w:rPr>
        <w:t>C</w:t>
      </w:r>
      <w:r w:rsidRPr="00B95D8E">
        <w:rPr>
          <w:rFonts w:cs="Arial"/>
          <w:sz w:val="22"/>
          <w:szCs w:val="22"/>
        </w:rPr>
        <w:t xml:space="preserve">abe resaltar </w:t>
      </w:r>
      <w:r w:rsidRPr="00B95D8E">
        <w:rPr>
          <w:rFonts w:cs="Arial"/>
          <w:sz w:val="22"/>
          <w:szCs w:val="22"/>
        </w:rPr>
        <w:t>que,</w:t>
      </w:r>
      <w:r w:rsidRPr="00B95D8E">
        <w:rPr>
          <w:rFonts w:cs="Arial"/>
          <w:sz w:val="22"/>
          <w:szCs w:val="22"/>
        </w:rPr>
        <w:t xml:space="preserve"> a pesar de la situación de retraso en los pagos y la suspensión temporal de los servicios por parte de los proveedores, la vida de la usuaria no está en riesgo, frente a esta situación de suspensión temporal del medicamento, la atención de emergencia, urgencias y situaciones que impliquen riesgo para la vida para nuestros usuarios sigue siendo una prioridad y está completamente garantizada. Los usuarios que requieran atención inmediata o urgente pueden acceder a estos servicios sin ningún inconveniente</w:t>
      </w:r>
      <w:r>
        <w:rPr>
          <w:rFonts w:cs="Arial"/>
          <w:sz w:val="22"/>
          <w:szCs w:val="22"/>
        </w:rPr>
        <w:t>.</w:t>
      </w:r>
    </w:p>
    <w:p w14:paraId="47DFB7AE" w14:textId="77777777" w:rsidR="00B95D8E" w:rsidRPr="00B95D8E" w:rsidRDefault="00B95D8E" w:rsidP="00B95D8E">
      <w:pPr>
        <w:pStyle w:val="Textoindependiente"/>
        <w:jc w:val="both"/>
        <w:rPr>
          <w:rFonts w:cs="Arial"/>
          <w:sz w:val="22"/>
          <w:szCs w:val="22"/>
        </w:rPr>
      </w:pPr>
    </w:p>
    <w:p w14:paraId="20ED266B" w14:textId="77777777" w:rsidR="00AD1C48" w:rsidRPr="00B95D8E" w:rsidRDefault="00AD1C48" w:rsidP="00B20789">
      <w:pPr>
        <w:pStyle w:val="Textoindependiente"/>
        <w:jc w:val="both"/>
        <w:rPr>
          <w:rFonts w:cs="Arial"/>
          <w:sz w:val="22"/>
          <w:szCs w:val="22"/>
        </w:rPr>
      </w:pPr>
    </w:p>
    <w:p w14:paraId="44E78B19" w14:textId="77777777" w:rsidR="00E320F9" w:rsidRPr="00B95D8E" w:rsidRDefault="00E320F9" w:rsidP="00B20789">
      <w:pPr>
        <w:jc w:val="center"/>
        <w:rPr>
          <w:rFonts w:ascii="Arial" w:hAnsi="Arial" w:cs="Arial"/>
          <w:b/>
          <w:bCs/>
          <w:sz w:val="22"/>
          <w:szCs w:val="22"/>
        </w:rPr>
      </w:pPr>
      <w:r w:rsidRPr="00B95D8E">
        <w:rPr>
          <w:rFonts w:ascii="Arial" w:hAnsi="Arial" w:cs="Arial"/>
          <w:b/>
          <w:bCs/>
          <w:sz w:val="22"/>
          <w:szCs w:val="22"/>
        </w:rPr>
        <w:t>FUNDAMENTO JURÍDICO Y JURISPRUDENCIAL</w:t>
      </w:r>
    </w:p>
    <w:p w14:paraId="01D008B7" w14:textId="77777777" w:rsidR="00FB4BBE" w:rsidRPr="00B95D8E" w:rsidRDefault="00FB4BBE" w:rsidP="00B20789">
      <w:pPr>
        <w:jc w:val="center"/>
        <w:rPr>
          <w:rFonts w:ascii="Arial" w:hAnsi="Arial" w:cs="Arial"/>
          <w:b/>
          <w:bCs/>
          <w:sz w:val="22"/>
          <w:szCs w:val="22"/>
        </w:rPr>
      </w:pPr>
    </w:p>
    <w:p w14:paraId="5935BF25" w14:textId="77777777" w:rsidR="009273FD" w:rsidRPr="000F53FD" w:rsidRDefault="009273FD" w:rsidP="009273FD">
      <w:pPr>
        <w:pStyle w:val="Prrafodelista"/>
        <w:numPr>
          <w:ilvl w:val="0"/>
          <w:numId w:val="8"/>
        </w:numPr>
        <w:jc w:val="both"/>
        <w:rPr>
          <w:rFonts w:ascii="Arial" w:hAnsi="Arial" w:cs="Arial"/>
          <w:b/>
          <w:bCs/>
          <w:sz w:val="22"/>
          <w:szCs w:val="22"/>
        </w:rPr>
      </w:pPr>
      <w:r w:rsidRPr="000F53FD">
        <w:rPr>
          <w:rFonts w:ascii="Arial" w:hAnsi="Arial" w:cs="Arial"/>
          <w:b/>
          <w:bCs/>
          <w:sz w:val="22"/>
          <w:szCs w:val="22"/>
        </w:rPr>
        <w:t>Cosa Juzgada:</w:t>
      </w:r>
    </w:p>
    <w:p w14:paraId="7DF2C102" w14:textId="77777777" w:rsidR="009273FD" w:rsidRPr="000F53FD" w:rsidRDefault="009273FD" w:rsidP="009273FD">
      <w:pPr>
        <w:pStyle w:val="Prrafodelista"/>
        <w:jc w:val="both"/>
        <w:rPr>
          <w:rFonts w:ascii="Arial" w:hAnsi="Arial" w:cs="Arial"/>
          <w:b/>
          <w:bCs/>
          <w:sz w:val="22"/>
          <w:szCs w:val="22"/>
        </w:rPr>
      </w:pPr>
    </w:p>
    <w:p w14:paraId="64E3705F" w14:textId="77777777" w:rsidR="009273FD" w:rsidRPr="000F53FD" w:rsidRDefault="009273FD" w:rsidP="009273FD">
      <w:pPr>
        <w:pStyle w:val="Prrafodelista"/>
        <w:jc w:val="both"/>
        <w:rPr>
          <w:rFonts w:ascii="Arial" w:hAnsi="Arial" w:cs="Arial"/>
          <w:sz w:val="22"/>
          <w:szCs w:val="22"/>
        </w:rPr>
      </w:pPr>
      <w:r w:rsidRPr="000F53FD">
        <w:rPr>
          <w:rFonts w:ascii="Arial" w:hAnsi="Arial" w:cs="Arial"/>
          <w:sz w:val="22"/>
          <w:szCs w:val="22"/>
        </w:rPr>
        <w:t>Al respecto La Honorable Corte Constitucional ha sido reiterativa sobre las “identidades procesales”, al respecto:</w:t>
      </w:r>
    </w:p>
    <w:p w14:paraId="045AD617" w14:textId="77777777" w:rsidR="009273FD" w:rsidRPr="000F53FD" w:rsidRDefault="009273FD" w:rsidP="009273FD">
      <w:pPr>
        <w:pStyle w:val="Prrafodelista"/>
        <w:jc w:val="both"/>
        <w:rPr>
          <w:rFonts w:ascii="Arial" w:hAnsi="Arial" w:cs="Arial"/>
          <w:sz w:val="22"/>
          <w:szCs w:val="22"/>
        </w:rPr>
      </w:pPr>
    </w:p>
    <w:p w14:paraId="2BD3E136" w14:textId="77777777" w:rsidR="009273FD" w:rsidRPr="000F53FD" w:rsidRDefault="009273FD" w:rsidP="009273FD">
      <w:pPr>
        <w:pStyle w:val="Prrafodelista"/>
        <w:jc w:val="both"/>
        <w:rPr>
          <w:rFonts w:ascii="Arial" w:hAnsi="Arial" w:cs="Arial"/>
          <w:sz w:val="22"/>
          <w:szCs w:val="22"/>
        </w:rPr>
      </w:pPr>
      <w:r w:rsidRPr="000F53FD">
        <w:rPr>
          <w:rFonts w:ascii="Arial" w:hAnsi="Arial" w:cs="Arial"/>
          <w:sz w:val="22"/>
          <w:szCs w:val="22"/>
        </w:rPr>
        <w:t xml:space="preserve">Sentencia T-373 de 2014, MP. Luis Ernesto Vargas Silva: </w:t>
      </w:r>
    </w:p>
    <w:p w14:paraId="7A739893" w14:textId="77777777" w:rsidR="009273FD" w:rsidRPr="000F53FD" w:rsidRDefault="009273FD" w:rsidP="009273FD">
      <w:pPr>
        <w:pStyle w:val="Prrafodelista"/>
        <w:jc w:val="both"/>
        <w:rPr>
          <w:rFonts w:ascii="Arial" w:hAnsi="Arial" w:cs="Arial"/>
          <w:sz w:val="22"/>
          <w:szCs w:val="22"/>
        </w:rPr>
      </w:pPr>
    </w:p>
    <w:p w14:paraId="3FB135F0"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sz w:val="22"/>
          <w:szCs w:val="22"/>
        </w:rPr>
        <w:lastRenderedPageBreak/>
        <w:t>“</w:t>
      </w:r>
      <w:r w:rsidRPr="000F53FD">
        <w:rPr>
          <w:rFonts w:ascii="Arial" w:hAnsi="Arial" w:cs="Arial"/>
          <w:i/>
          <w:iCs/>
          <w:sz w:val="22"/>
          <w:szCs w:val="22"/>
        </w:rPr>
        <w:t>16. Para poder establecer si se está en presencia de una cosa juzgada o temeridad, es necesario determinar que en dos procesos distintos uno posterior al otro concurren las mismas partes, los mismos hechos y las mismas pretensiones. La Corte ha definido esto como las “identidades procesales, que fueron ampliamente definidas en la sentencia C-774 de 2001:</w:t>
      </w:r>
    </w:p>
    <w:p w14:paraId="0C6F1FD1"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 xml:space="preserve"> </w:t>
      </w:r>
    </w:p>
    <w:p w14:paraId="1E24506C"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 xml:space="preserve">“- </w:t>
      </w:r>
      <w:r w:rsidRPr="000F53FD">
        <w:rPr>
          <w:rFonts w:ascii="Arial" w:hAnsi="Arial" w:cs="Arial"/>
          <w:b/>
          <w:bCs/>
          <w:i/>
          <w:iCs/>
          <w:sz w:val="22"/>
          <w:szCs w:val="22"/>
        </w:rPr>
        <w:t>Identidad de objeto</w:t>
      </w:r>
      <w:r w:rsidRPr="000F53FD">
        <w:rPr>
          <w:rFonts w:ascii="Arial" w:hAnsi="Arial" w:cs="Arial"/>
          <w:i/>
          <w:iCs/>
          <w:sz w:val="22"/>
          <w:szCs w:val="22"/>
        </w:rPr>
        <w:t>, es decir, la demanda debe versar sobre la misma pretensión material o inmaterial sobre la cual se predica la cosa juzgada. Se presenta cuando sobre lo pretendido existe un derecho reconocido, declarado o modificado sobre una o varias cosas o sobre una relación jurídica. Igualmente se predica identidad sobre aquellos elementos consecuenciales de un derecho que no fueron declarados expresamente.</w:t>
      </w:r>
    </w:p>
    <w:p w14:paraId="722DFB40"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 xml:space="preserve"> </w:t>
      </w:r>
    </w:p>
    <w:p w14:paraId="690CB30B"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 xml:space="preserve">- </w:t>
      </w:r>
      <w:r w:rsidRPr="000F53FD">
        <w:rPr>
          <w:rFonts w:ascii="Arial" w:hAnsi="Arial" w:cs="Arial"/>
          <w:b/>
          <w:bCs/>
          <w:i/>
          <w:iCs/>
          <w:sz w:val="22"/>
          <w:szCs w:val="22"/>
        </w:rPr>
        <w:t>Identidad de causa petendi</w:t>
      </w:r>
      <w:r w:rsidRPr="000F53FD">
        <w:rPr>
          <w:rFonts w:ascii="Arial" w:hAnsi="Arial" w:cs="Arial"/>
          <w:i/>
          <w:iCs/>
          <w:sz w:val="22"/>
          <w:szCs w:val="22"/>
        </w:rPr>
        <w:t xml:space="preserve"> (eadem causa petendi), es decir, la demanda y la decisión que hizo tránsito a cosa juzgada deben tener los mismos fundamentos o hechos como sustento. Cuando además de los mismos hechos, la demanda presenta nuevos elementos, solamente se permite el análisis de los nuevos supuestos, caso en el cual, el juez puede retomar los fundamentos que constituyen cosa juzgada para proceder a fallar sobre la nueva causa. - Identidad de partes, es decir, al proceso deben concurrir las mismas partes e intervinientes que resultaron vinculadas y obligadas por la decisión que constituye cosa juzgada.” (…)</w:t>
      </w:r>
    </w:p>
    <w:p w14:paraId="273DA34F"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 xml:space="preserve"> </w:t>
      </w:r>
    </w:p>
    <w:p w14:paraId="02AEE046"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b/>
          <w:bCs/>
          <w:i/>
          <w:iCs/>
          <w:sz w:val="22"/>
          <w:szCs w:val="22"/>
          <w:u w:val="single"/>
        </w:rPr>
        <w:t>Estas consideraciones son suficientes para entender qué es la cosa juzgada y cuándo se configura</w:t>
      </w:r>
      <w:r w:rsidRPr="000F53FD">
        <w:rPr>
          <w:rFonts w:ascii="Arial" w:hAnsi="Arial" w:cs="Arial"/>
          <w:i/>
          <w:iCs/>
          <w:sz w:val="22"/>
          <w:szCs w:val="22"/>
        </w:rPr>
        <w:t>. Basta entonces exponer, que para que ello ocurra debe constatarse la existencia estos tres elementos sin excepción alguna, porque de lo contrario podrá iniciarse un nuevo proceso en otra jurisdicción o aun en la misma, sin que pueda alegarse la existencia de una exceptio res judicata.</w:t>
      </w:r>
    </w:p>
    <w:p w14:paraId="09DE975A" w14:textId="77777777" w:rsidR="009273FD" w:rsidRPr="000F53FD" w:rsidRDefault="009273FD" w:rsidP="009273FD">
      <w:pPr>
        <w:pStyle w:val="Prrafodelista"/>
        <w:jc w:val="both"/>
        <w:rPr>
          <w:rFonts w:ascii="Arial" w:hAnsi="Arial" w:cs="Arial"/>
          <w:i/>
          <w:iCs/>
          <w:sz w:val="22"/>
          <w:szCs w:val="22"/>
        </w:rPr>
      </w:pPr>
    </w:p>
    <w:p w14:paraId="3B611AD6"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17. Por otra parte, sobre los efectos de la cosa juzgada, en la sentencia C-622 de 2007 la Corte señaló que son dos principalmente: (i) uno de naturaleza positiva, “cual es el de vincular o constreñir al juez para que reconozca y acate el pronunciamiento anterior” hecho que se traduce en la facultad que tiene el interesado de hacer cumplir la voluntad del derecho, plasmada en la parte resolutiva de la sentencia. Aquí debe precisarse que una cosa es el ejercicio encaminado a exigir el cumplimiento de la decisión adoptada en la providencia judicial y otra muy diferente las órdenes que constituyen la parte resolutiva de la sentencia, pues lo primero es un efecto de la cosa juzgada, en tanto que lo segundo es un efecto de la decisión.</w:t>
      </w:r>
    </w:p>
    <w:p w14:paraId="174F44A0"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 xml:space="preserve"> </w:t>
      </w:r>
    </w:p>
    <w:p w14:paraId="57085DDA" w14:textId="77777777" w:rsidR="009273FD" w:rsidRPr="000F53FD" w:rsidRDefault="009273FD" w:rsidP="009273FD">
      <w:pPr>
        <w:pStyle w:val="Prrafodelista"/>
        <w:jc w:val="both"/>
        <w:rPr>
          <w:rFonts w:ascii="Arial" w:hAnsi="Arial" w:cs="Arial"/>
          <w:i/>
          <w:iCs/>
          <w:sz w:val="22"/>
          <w:szCs w:val="22"/>
        </w:rPr>
      </w:pPr>
      <w:r w:rsidRPr="000F53FD">
        <w:rPr>
          <w:rFonts w:ascii="Arial" w:hAnsi="Arial" w:cs="Arial"/>
          <w:i/>
          <w:iCs/>
          <w:sz w:val="22"/>
          <w:szCs w:val="22"/>
        </w:rPr>
        <w:t>(ii) Otro de connotaciones negativas, “</w:t>
      </w:r>
      <w:r w:rsidRPr="000F53FD">
        <w:rPr>
          <w:rFonts w:ascii="Arial" w:hAnsi="Arial" w:cs="Arial"/>
          <w:b/>
          <w:bCs/>
          <w:i/>
          <w:iCs/>
          <w:sz w:val="22"/>
          <w:szCs w:val="22"/>
          <w:u w:val="single"/>
        </w:rPr>
        <w:t>que se traduce en la prohibición que se impone también al operador jurídico para resolver sobre el fondo de conflictos ya decididos a través de sentencia en firme, evitando además que respecto de una misma cuestión litigiosa se presenten decisiones contradictorias con la primera. En este segundo efecto, lo que se pretende es no sólo excluir una decisión contraria a la precedente, sino también cualquier nueva decisión sobre lo que ya ha sido objeto de juzgamiento anterior</w:t>
      </w:r>
      <w:r w:rsidRPr="000F53FD">
        <w:rPr>
          <w:rFonts w:ascii="Arial" w:hAnsi="Arial" w:cs="Arial"/>
          <w:i/>
          <w:iCs/>
          <w:sz w:val="22"/>
          <w:szCs w:val="22"/>
        </w:rPr>
        <w:t>”. Este segundo efecto implica el estudio por parte del juez, sobre la previamente mencionada identidad procesal y la limitación que le es impuesta para pronunciarse en casos donde se evidencie la presencia de la cosa juzgada.</w:t>
      </w:r>
    </w:p>
    <w:p w14:paraId="77056915" w14:textId="77777777" w:rsidR="009273FD" w:rsidRPr="000F53FD" w:rsidRDefault="009273FD" w:rsidP="009273FD">
      <w:pPr>
        <w:pStyle w:val="Prrafodelista"/>
        <w:jc w:val="both"/>
        <w:rPr>
          <w:rFonts w:ascii="Arial" w:hAnsi="Arial" w:cs="Arial"/>
          <w:i/>
          <w:iCs/>
          <w:sz w:val="22"/>
          <w:szCs w:val="22"/>
        </w:rPr>
      </w:pPr>
    </w:p>
    <w:p w14:paraId="259D3242" w14:textId="77777777" w:rsidR="009273FD" w:rsidRPr="000F53FD" w:rsidRDefault="009273FD" w:rsidP="009273FD">
      <w:pPr>
        <w:pStyle w:val="Prrafodelista"/>
        <w:jc w:val="both"/>
        <w:rPr>
          <w:rFonts w:ascii="Arial" w:hAnsi="Arial" w:cs="Arial"/>
          <w:sz w:val="22"/>
          <w:szCs w:val="22"/>
        </w:rPr>
      </w:pPr>
      <w:r w:rsidRPr="000F53FD">
        <w:rPr>
          <w:rFonts w:ascii="Arial" w:hAnsi="Arial" w:cs="Arial"/>
          <w:i/>
          <w:iCs/>
          <w:sz w:val="22"/>
          <w:szCs w:val="22"/>
        </w:rPr>
        <w:t>18. En síntesis, el principio de cosa juzgada es una garantía procesal estrechamente ligada a la seguridad jurídica, que tiene como propósito la resolución definitiva de las controversias litigiosas. A su vez, es un elemento integrador de la sentencia, más no un efecto de la misma, de manera que su naturaleza se predica del proceso y no de las consecuencias del mismo. Así las cosas, la eficacia de las decisiones no es un efecto de la cosa juzgada, sino de la providencia judicial, en ese sentido, la cosa juzgada está ligada a la validez y no a la eficacia de la sentencia. En otras palabras, una sentencia puede ser válida, pero ineficaz, como sucedió en el asunto resuelto en la Sentencia T-218 de 2012, abordado en precedencia</w:t>
      </w:r>
      <w:r w:rsidRPr="000F53FD">
        <w:rPr>
          <w:rFonts w:ascii="Arial" w:hAnsi="Arial" w:cs="Arial"/>
          <w:sz w:val="22"/>
          <w:szCs w:val="22"/>
        </w:rPr>
        <w:t>.”</w:t>
      </w:r>
    </w:p>
    <w:p w14:paraId="1A9DC98C" w14:textId="77777777" w:rsidR="009273FD" w:rsidRPr="000F53FD" w:rsidRDefault="009273FD" w:rsidP="009273FD">
      <w:pPr>
        <w:pStyle w:val="Prrafodelista"/>
        <w:jc w:val="both"/>
        <w:rPr>
          <w:rFonts w:ascii="Arial" w:hAnsi="Arial" w:cs="Arial"/>
          <w:sz w:val="22"/>
          <w:szCs w:val="22"/>
        </w:rPr>
      </w:pPr>
    </w:p>
    <w:p w14:paraId="3249C2D9" w14:textId="481184BC" w:rsidR="009273FD" w:rsidRPr="000F53FD" w:rsidRDefault="009273FD" w:rsidP="00E850EF">
      <w:pPr>
        <w:pStyle w:val="Prrafodelista"/>
        <w:jc w:val="both"/>
        <w:rPr>
          <w:rFonts w:ascii="Arial" w:hAnsi="Arial" w:cs="Arial"/>
          <w:sz w:val="22"/>
          <w:szCs w:val="22"/>
        </w:rPr>
      </w:pPr>
      <w:r w:rsidRPr="000F53FD">
        <w:rPr>
          <w:rFonts w:ascii="Arial" w:hAnsi="Arial" w:cs="Arial"/>
          <w:sz w:val="22"/>
          <w:szCs w:val="22"/>
        </w:rPr>
        <w:t xml:space="preserve">Ahora bien, se resalta al despacho que lo que pretende la parte accionante en la presente acción de tutela, la misma ya fue resuelta en acción de tutela anterior, bajo el radicado </w:t>
      </w:r>
      <w:r w:rsidR="00E850EF" w:rsidRPr="00E850EF">
        <w:rPr>
          <w:rFonts w:ascii="Arial" w:hAnsi="Arial" w:cs="Arial"/>
          <w:sz w:val="22"/>
          <w:szCs w:val="22"/>
        </w:rPr>
        <w:t>680014009003-2022-031-00</w:t>
      </w:r>
      <w:r w:rsidRPr="000F53FD">
        <w:rPr>
          <w:rFonts w:ascii="Arial" w:hAnsi="Arial" w:cs="Arial"/>
          <w:sz w:val="22"/>
          <w:szCs w:val="22"/>
        </w:rPr>
        <w:t xml:space="preserve">que conoció el </w:t>
      </w:r>
      <w:r w:rsidR="00E850EF" w:rsidRPr="00E850EF">
        <w:rPr>
          <w:rFonts w:ascii="Arial" w:hAnsi="Arial" w:cs="Arial"/>
          <w:sz w:val="22"/>
          <w:szCs w:val="22"/>
        </w:rPr>
        <w:t>JUZGADO TERCERO PENAL MUNICIPAL CON FUNCIONES DE</w:t>
      </w:r>
      <w:r w:rsidR="00E850EF">
        <w:rPr>
          <w:rFonts w:ascii="Arial" w:hAnsi="Arial" w:cs="Arial"/>
          <w:sz w:val="22"/>
          <w:szCs w:val="22"/>
        </w:rPr>
        <w:t xml:space="preserve"> </w:t>
      </w:r>
      <w:r w:rsidR="00E850EF" w:rsidRPr="00E850EF">
        <w:rPr>
          <w:rFonts w:ascii="Arial" w:hAnsi="Arial" w:cs="Arial"/>
          <w:sz w:val="22"/>
          <w:szCs w:val="22"/>
        </w:rPr>
        <w:t>CONOCIMIENTO</w:t>
      </w:r>
      <w:r w:rsidR="00E850EF">
        <w:rPr>
          <w:rFonts w:ascii="Arial" w:hAnsi="Arial" w:cs="Arial"/>
          <w:sz w:val="22"/>
          <w:szCs w:val="22"/>
        </w:rPr>
        <w:t xml:space="preserve"> DE BUCARAMANGA</w:t>
      </w:r>
      <w:r>
        <w:rPr>
          <w:rFonts w:ascii="Arial" w:hAnsi="Arial" w:cs="Arial"/>
          <w:sz w:val="22"/>
          <w:szCs w:val="22"/>
        </w:rPr>
        <w:t>,</w:t>
      </w:r>
      <w:r w:rsidRPr="000F53FD">
        <w:rPr>
          <w:rFonts w:ascii="Arial" w:hAnsi="Arial" w:cs="Arial"/>
          <w:sz w:val="22"/>
          <w:szCs w:val="22"/>
        </w:rPr>
        <w:t xml:space="preserve"> por lo tanto, se configura en este caso la COSA JUZGADA.</w:t>
      </w:r>
    </w:p>
    <w:p w14:paraId="52C4C125" w14:textId="77777777" w:rsidR="009273FD" w:rsidRPr="000F53FD" w:rsidRDefault="009273FD" w:rsidP="009273FD">
      <w:pPr>
        <w:pStyle w:val="Prrafodelista"/>
        <w:jc w:val="both"/>
        <w:rPr>
          <w:rFonts w:ascii="Arial" w:hAnsi="Arial" w:cs="Arial"/>
          <w:b/>
          <w:bCs/>
          <w:sz w:val="22"/>
          <w:szCs w:val="22"/>
        </w:rPr>
      </w:pPr>
    </w:p>
    <w:p w14:paraId="687D0CFD" w14:textId="77777777" w:rsidR="009273FD" w:rsidRPr="000F53FD" w:rsidRDefault="009273FD" w:rsidP="009273FD">
      <w:pPr>
        <w:pStyle w:val="Prrafodelista"/>
        <w:numPr>
          <w:ilvl w:val="0"/>
          <w:numId w:val="8"/>
        </w:numPr>
        <w:jc w:val="both"/>
        <w:rPr>
          <w:rFonts w:ascii="Arial" w:hAnsi="Arial" w:cs="Arial"/>
          <w:b/>
          <w:bCs/>
          <w:sz w:val="22"/>
          <w:szCs w:val="22"/>
        </w:rPr>
      </w:pPr>
      <w:r w:rsidRPr="000F53FD">
        <w:rPr>
          <w:rFonts w:ascii="Arial" w:hAnsi="Arial" w:cs="Arial"/>
          <w:b/>
          <w:bCs/>
          <w:sz w:val="22"/>
          <w:szCs w:val="22"/>
        </w:rPr>
        <w:t>Ministerio de Salud y Protección Social (MSPS) y la Administradora de los Recursos del Sistema General de Seguridad Social en Salud (ADRES), como deudores naturales y responsables directos de las prestaciones NO PBS – VINCULACIÓN</w:t>
      </w:r>
    </w:p>
    <w:p w14:paraId="20682BAA" w14:textId="77777777" w:rsidR="009273FD" w:rsidRPr="000F53FD" w:rsidRDefault="009273FD" w:rsidP="009273FD">
      <w:pPr>
        <w:pStyle w:val="Prrafodelista"/>
        <w:jc w:val="both"/>
        <w:rPr>
          <w:rFonts w:ascii="Arial" w:hAnsi="Arial" w:cs="Arial"/>
          <w:sz w:val="22"/>
          <w:szCs w:val="22"/>
        </w:rPr>
      </w:pPr>
    </w:p>
    <w:p w14:paraId="575FE5DC" w14:textId="77777777" w:rsidR="009273FD" w:rsidRPr="003B21DB" w:rsidRDefault="009273FD" w:rsidP="009273FD">
      <w:pPr>
        <w:pStyle w:val="Prrafodelista"/>
        <w:jc w:val="both"/>
        <w:rPr>
          <w:rFonts w:ascii="Arial" w:hAnsi="Arial" w:cs="Arial"/>
          <w:sz w:val="22"/>
          <w:szCs w:val="22"/>
          <w:lang w:val="es-CO"/>
        </w:rPr>
      </w:pPr>
      <w:r w:rsidRPr="000F53FD">
        <w:rPr>
          <w:rFonts w:ascii="Arial" w:hAnsi="Arial" w:cs="Arial"/>
          <w:sz w:val="22"/>
          <w:szCs w:val="22"/>
        </w:rPr>
        <w:t xml:space="preserve">La </w:t>
      </w:r>
      <w:r w:rsidRPr="000F53FD">
        <w:rPr>
          <w:rFonts w:ascii="Arial" w:hAnsi="Arial" w:cs="Arial"/>
          <w:b/>
          <w:bCs/>
          <w:sz w:val="22"/>
          <w:szCs w:val="22"/>
          <w:u w:val="single"/>
        </w:rPr>
        <w:t>prestación de salud</w:t>
      </w:r>
      <w:r w:rsidRPr="000F53FD">
        <w:rPr>
          <w:rFonts w:ascii="Arial" w:hAnsi="Arial" w:cs="Arial"/>
          <w:sz w:val="22"/>
          <w:szCs w:val="22"/>
        </w:rPr>
        <w:t xml:space="preserve"> que se discute en la presente acción de tutela es </w:t>
      </w:r>
      <w:r w:rsidRPr="000F53FD">
        <w:rPr>
          <w:rFonts w:ascii="Arial" w:hAnsi="Arial" w:cs="Arial"/>
          <w:b/>
          <w:bCs/>
          <w:sz w:val="22"/>
          <w:szCs w:val="22"/>
          <w:u w:val="single"/>
        </w:rPr>
        <w:t>NO PBS</w:t>
      </w:r>
      <w:r w:rsidRPr="000F53FD">
        <w:rPr>
          <w:rFonts w:ascii="Arial" w:hAnsi="Arial" w:cs="Arial"/>
          <w:sz w:val="22"/>
          <w:szCs w:val="22"/>
        </w:rPr>
        <w:t>, esto significa que se trata de un servicio de salud no incluido dentro del Plan de Beneficios (PBS) y que su financiación no se hace con cargo a la unidad de pago por capitación (UPC</w:t>
      </w:r>
      <w:r w:rsidRPr="000F53FD">
        <w:rPr>
          <w:rStyle w:val="Refdenotaalpie"/>
          <w:rFonts w:ascii="Arial" w:hAnsi="Arial" w:cs="Arial"/>
          <w:sz w:val="22"/>
          <w:szCs w:val="22"/>
        </w:rPr>
        <w:footnoteReference w:id="1"/>
      </w:r>
      <w:r w:rsidRPr="000F53FD">
        <w:rPr>
          <w:rFonts w:ascii="Arial" w:hAnsi="Arial" w:cs="Arial"/>
          <w:sz w:val="22"/>
          <w:szCs w:val="22"/>
        </w:rPr>
        <w:t xml:space="preserve">) sino bajo el mecanismo de Presupuestos Máximos (PM), establecido por la Ley 1955 de 2019, consistente en la asignación de un límite financiero por parte del Estado a las Entidades Promotoras de Salud (EPS) para cubrir los servicios, medicamentos y tecnologías que </w:t>
      </w:r>
      <w:r w:rsidRPr="000F53FD">
        <w:rPr>
          <w:rFonts w:ascii="Arial" w:hAnsi="Arial" w:cs="Arial"/>
          <w:b/>
          <w:bCs/>
          <w:sz w:val="22"/>
          <w:szCs w:val="22"/>
        </w:rPr>
        <w:t>no están incluidos en el PBS</w:t>
      </w:r>
      <w:r w:rsidRPr="000F53FD">
        <w:rPr>
          <w:rFonts w:ascii="Arial" w:hAnsi="Arial" w:cs="Arial"/>
          <w:sz w:val="22"/>
          <w:szCs w:val="22"/>
        </w:rPr>
        <w:t>, pero que son requeridos por los pacientes y ordenados por los médicos tratantes.</w:t>
      </w:r>
    </w:p>
    <w:p w14:paraId="1501FF3E"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 xml:space="preserve">Bajo este mecanismo (el de PM) las EPS serán gestoras de un dinero entregado a ellos por parte de la ADRES, de manera previa, al reconocimiento de servicios y tecnologías no sufragados con cargo a la UPC. Lo anterior quiere decir, que la responsabilidad de financiación de las tecnologías NO PBS está a cargo del Estado a través del Ministerio de Salud y la Protección Social (MSPS) y la ADRES, y no de las EPS ni siquiera con su propio patrimonio. </w:t>
      </w:r>
    </w:p>
    <w:p w14:paraId="08A9AA98" w14:textId="77777777" w:rsidR="009273FD" w:rsidRPr="003B21DB" w:rsidRDefault="009273FD" w:rsidP="009273FD">
      <w:pPr>
        <w:pStyle w:val="Prrafodelista"/>
        <w:jc w:val="both"/>
        <w:rPr>
          <w:rFonts w:ascii="Arial" w:hAnsi="Arial" w:cs="Arial"/>
          <w:sz w:val="22"/>
          <w:szCs w:val="22"/>
          <w:lang w:val="es-CO"/>
        </w:rPr>
      </w:pPr>
    </w:p>
    <w:p w14:paraId="70023E1E"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Lo anterior, está soportado en la sentencia C-162 de 2022, que examinó la constitucionalidad del artículo 240 de la Ley 1955 de 2019 y dijo que “</w:t>
      </w:r>
      <w:r w:rsidRPr="003B21DB">
        <w:rPr>
          <w:rFonts w:ascii="Arial" w:hAnsi="Arial" w:cs="Arial"/>
          <w:i/>
          <w:iCs/>
          <w:sz w:val="22"/>
          <w:szCs w:val="22"/>
          <w:lang w:val="es-CO"/>
        </w:rPr>
        <w:t>el artículo demandado no establece, ni siquiera implícitamente, que las EPS deban ser las responsables por la financiación de los servicios y tecnologías no cubiertos UPC cuando su prestación supere los techos presupuestales aludidos</w:t>
      </w:r>
      <w:r w:rsidRPr="003B21DB">
        <w:rPr>
          <w:rFonts w:ascii="Arial" w:hAnsi="Arial" w:cs="Arial"/>
          <w:sz w:val="22"/>
          <w:szCs w:val="22"/>
          <w:lang w:val="es-CO"/>
        </w:rPr>
        <w:t>” y a renglón seguido dispone que “</w:t>
      </w:r>
      <w:r w:rsidRPr="003B21DB">
        <w:rPr>
          <w:rFonts w:ascii="Arial" w:hAnsi="Arial" w:cs="Arial"/>
          <w:i/>
          <w:iCs/>
          <w:sz w:val="22"/>
          <w:szCs w:val="22"/>
          <w:lang w:val="es-CO"/>
        </w:rPr>
        <w:t>corresponderá al Ministerio de Salud y Protección Social definir la metodología que se seguirá para el cálculo del presupuesto máximo que, a la postre, será dirigido a cada EPS con el objeto de sufragar este tipo de servicios o tecnologías en salud</w:t>
      </w:r>
      <w:r w:rsidRPr="003B21DB">
        <w:rPr>
          <w:rFonts w:ascii="Arial" w:hAnsi="Arial" w:cs="Arial"/>
          <w:sz w:val="22"/>
          <w:szCs w:val="22"/>
          <w:lang w:val="es-CO"/>
        </w:rPr>
        <w:t>”.</w:t>
      </w:r>
    </w:p>
    <w:p w14:paraId="2115E7E2" w14:textId="77777777" w:rsidR="009273FD" w:rsidRPr="003B21DB" w:rsidRDefault="009273FD" w:rsidP="009273FD">
      <w:pPr>
        <w:pStyle w:val="Prrafodelista"/>
        <w:jc w:val="both"/>
        <w:rPr>
          <w:rFonts w:ascii="Arial" w:hAnsi="Arial" w:cs="Arial"/>
          <w:sz w:val="22"/>
          <w:szCs w:val="22"/>
          <w:lang w:val="es-CO"/>
        </w:rPr>
      </w:pPr>
    </w:p>
    <w:p w14:paraId="606D7AA1"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Los valores asignados como presupuesto máximo para el cubrimiento de las necesidades y servicios no financiados con la UPC, para las vigencias 2020, 2021, 2022 y 2023 no han sido suficientes, representando una insuficiencia de presupuestos máximos por más de COP $ 212.000 millones de pesos. Así lo ha señalado EPS SURA en múltiples ocasiones, pues ha procurado exponer desde años atrás al MSPS, la ADRES y la Superintendencia Nacional de Salud (Supersalud) los argumentos técnicos y jurídicos que demuestran la responsabilidad de aquellas respecto a la insuficiencia de los recursos que son destinados para el financiamiento del SGSSS y los modelos implementados para la estimación del crecimiento del valor de los consumos que se hacen por estos conceptos en todo el territorio nacional.</w:t>
      </w:r>
    </w:p>
    <w:p w14:paraId="63064ECC" w14:textId="77777777" w:rsidR="009273FD" w:rsidRPr="003B21DB" w:rsidRDefault="009273FD" w:rsidP="009273FD">
      <w:pPr>
        <w:pStyle w:val="Prrafodelista"/>
        <w:jc w:val="both"/>
        <w:rPr>
          <w:rFonts w:ascii="Arial" w:hAnsi="Arial" w:cs="Arial"/>
          <w:sz w:val="22"/>
          <w:szCs w:val="22"/>
          <w:lang w:val="es-CO"/>
        </w:rPr>
      </w:pPr>
    </w:p>
    <w:p w14:paraId="0409DFEC"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 xml:space="preserve">Puntualmente, y en lo relativo al año 2024, desde Junio del presente año (con fecha de pago el 03/Jul/2024) a EPS SURA no se le han reconocido PM. Así se puede corroborar directamente en la página de la ADRES </w:t>
      </w:r>
      <w:hyperlink r:id="rId14" w:history="1">
        <w:r w:rsidRPr="003B21DB">
          <w:rPr>
            <w:rStyle w:val="Hipervnculo"/>
            <w:rFonts w:ascii="Arial" w:hAnsi="Arial" w:cs="Arial"/>
            <w:sz w:val="22"/>
            <w:szCs w:val="22"/>
            <w:lang w:val="es-CO"/>
          </w:rPr>
          <w:t>https://www.adres.gov.co/lupa-al-giro/presupuestos-maximos</w:t>
        </w:r>
      </w:hyperlink>
      <w:r w:rsidRPr="003B21DB">
        <w:rPr>
          <w:rFonts w:ascii="Arial" w:hAnsi="Arial" w:cs="Arial"/>
          <w:sz w:val="22"/>
          <w:szCs w:val="22"/>
          <w:vertAlign w:val="superscript"/>
          <w:lang w:val="es-CO"/>
        </w:rPr>
        <w:footnoteReference w:id="2"/>
      </w:r>
      <w:r w:rsidRPr="003B21DB">
        <w:rPr>
          <w:rFonts w:ascii="Arial" w:hAnsi="Arial" w:cs="Arial"/>
          <w:sz w:val="22"/>
          <w:szCs w:val="22"/>
          <w:lang w:val="es-CO"/>
        </w:rPr>
        <w:t xml:space="preserve">. </w:t>
      </w:r>
    </w:p>
    <w:p w14:paraId="09E02539" w14:textId="77777777" w:rsidR="009273FD" w:rsidRPr="003B21DB" w:rsidRDefault="009273FD" w:rsidP="009273FD">
      <w:pPr>
        <w:pStyle w:val="Prrafodelista"/>
        <w:jc w:val="both"/>
        <w:rPr>
          <w:rFonts w:ascii="Arial" w:hAnsi="Arial" w:cs="Arial"/>
          <w:sz w:val="22"/>
          <w:szCs w:val="22"/>
          <w:lang w:val="es-CO"/>
        </w:rPr>
      </w:pPr>
    </w:p>
    <w:p w14:paraId="7700AFEE"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 xml:space="preserve">La mora en el pago de los PM desencadena afectaciones graves en cuanto el relacionamiento con la red de prestadores y consecuencialmente repercute directamente en la prestación del servicio de salud, impactando el derecho fundamental de la salud de millones de afiliados. </w:t>
      </w:r>
    </w:p>
    <w:p w14:paraId="706A2E73" w14:textId="77777777" w:rsidR="009273FD" w:rsidRPr="003B21DB" w:rsidRDefault="009273FD" w:rsidP="009273FD">
      <w:pPr>
        <w:pStyle w:val="Prrafodelista"/>
        <w:jc w:val="both"/>
        <w:rPr>
          <w:rFonts w:ascii="Arial" w:hAnsi="Arial" w:cs="Arial"/>
          <w:sz w:val="22"/>
          <w:szCs w:val="22"/>
          <w:lang w:val="es-CO"/>
        </w:rPr>
      </w:pPr>
    </w:p>
    <w:p w14:paraId="3484EEAF"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 xml:space="preserve">Por lo anterior, y siendo el Estado en cabeza del MSPS y la ADRES, los deudores naturales y responsables directos de las prestaciones NO PBS, solicitamos de manera respetuosa se </w:t>
      </w:r>
      <w:r w:rsidRPr="003B21DB">
        <w:rPr>
          <w:rFonts w:ascii="Arial" w:hAnsi="Arial" w:cs="Arial"/>
          <w:b/>
          <w:bCs/>
          <w:sz w:val="22"/>
          <w:szCs w:val="22"/>
          <w:u w:val="single"/>
          <w:lang w:val="es-CO"/>
        </w:rPr>
        <w:t>vincule a la presente acción de tutela al Ministerio de Salud y Protección Social y la Administradora de los Recursos del Sistema General de Seguridad Social en Salud, ADRES para que en el presente caso respondan por el cubrimiento económico de la prestación NO PBS solicitada en el presente trámite</w:t>
      </w:r>
      <w:r w:rsidRPr="003B21DB">
        <w:rPr>
          <w:rFonts w:ascii="Arial" w:hAnsi="Arial" w:cs="Arial"/>
          <w:sz w:val="22"/>
          <w:szCs w:val="22"/>
          <w:lang w:val="es-CO"/>
        </w:rPr>
        <w:t>.</w:t>
      </w:r>
    </w:p>
    <w:p w14:paraId="6AC5819E" w14:textId="77777777" w:rsidR="009273FD" w:rsidRPr="003B21DB" w:rsidRDefault="009273FD" w:rsidP="009273FD">
      <w:pPr>
        <w:pStyle w:val="Prrafodelista"/>
        <w:jc w:val="both"/>
        <w:rPr>
          <w:rFonts w:ascii="Arial" w:hAnsi="Arial" w:cs="Arial"/>
          <w:sz w:val="22"/>
          <w:szCs w:val="22"/>
          <w:lang w:val="es-CO"/>
        </w:rPr>
      </w:pPr>
    </w:p>
    <w:p w14:paraId="360A86A1" w14:textId="77777777" w:rsidR="009273FD" w:rsidRPr="003B21DB" w:rsidRDefault="009273FD" w:rsidP="009273FD">
      <w:pPr>
        <w:pStyle w:val="Prrafodelista"/>
        <w:jc w:val="both"/>
        <w:rPr>
          <w:rFonts w:ascii="Arial" w:hAnsi="Arial" w:cs="Arial"/>
          <w:sz w:val="22"/>
          <w:szCs w:val="22"/>
          <w:lang w:val="es-CO"/>
        </w:rPr>
      </w:pPr>
      <w:r w:rsidRPr="003B21DB">
        <w:rPr>
          <w:rFonts w:ascii="Arial" w:hAnsi="Arial" w:cs="Arial"/>
          <w:sz w:val="22"/>
          <w:szCs w:val="22"/>
          <w:lang w:val="es-CO"/>
        </w:rPr>
        <w:t>Además de los argumentos expuestos anteriormente, téngase en cuenta su señoría que la Corte Constitucional desde la sentencia SU-480 de 1997 reconoció el derecho que tienen las EPS “</w:t>
      </w:r>
      <w:r w:rsidRPr="003B21DB">
        <w:rPr>
          <w:rFonts w:ascii="Arial" w:hAnsi="Arial" w:cs="Arial"/>
          <w:i/>
          <w:iCs/>
          <w:sz w:val="22"/>
          <w:szCs w:val="22"/>
          <w:lang w:val="es-CO"/>
        </w:rPr>
        <w:t>a que, si se ven obligadas a suministrar servicios adicionales a los pactados, por lo menos se mantenga “el equilibrio económico-financiero del contrato o el restablecimiento de la ecuación financiera</w:t>
      </w:r>
      <w:r w:rsidRPr="003B21DB">
        <w:rPr>
          <w:rFonts w:ascii="Arial" w:hAnsi="Arial" w:cs="Arial"/>
          <w:sz w:val="22"/>
          <w:szCs w:val="22"/>
          <w:lang w:val="es-CO"/>
        </w:rPr>
        <w:t xml:space="preserve">”. Este derecho fue garantizado a través de la figura de los recobros, en su momento ante el FOSYGA, y hoy debe ser garantizado en el mismo sentido, pero ante la ADRES, para que en el presente caso, se le permita el recobro a dicha entidad por no sufragar los dineros correspondientes a las prestaciones NO PBS. </w:t>
      </w:r>
    </w:p>
    <w:p w14:paraId="4CDBAE9F" w14:textId="77777777" w:rsidR="009273FD" w:rsidRPr="000F53FD" w:rsidRDefault="009273FD" w:rsidP="009273FD">
      <w:pPr>
        <w:pStyle w:val="Prrafodelista"/>
        <w:jc w:val="both"/>
        <w:rPr>
          <w:rFonts w:ascii="Arial" w:hAnsi="Arial" w:cs="Arial"/>
          <w:sz w:val="22"/>
          <w:szCs w:val="22"/>
        </w:rPr>
      </w:pPr>
    </w:p>
    <w:p w14:paraId="22C6E554" w14:textId="77777777" w:rsidR="009273FD" w:rsidRPr="000F53FD" w:rsidRDefault="009273FD" w:rsidP="009273FD">
      <w:pPr>
        <w:pStyle w:val="Prrafodelista"/>
        <w:numPr>
          <w:ilvl w:val="0"/>
          <w:numId w:val="8"/>
        </w:numPr>
        <w:jc w:val="both"/>
        <w:rPr>
          <w:rFonts w:ascii="Arial" w:hAnsi="Arial" w:cs="Arial"/>
          <w:b/>
          <w:bCs/>
          <w:sz w:val="22"/>
          <w:szCs w:val="22"/>
        </w:rPr>
      </w:pPr>
      <w:r w:rsidRPr="000F53FD">
        <w:rPr>
          <w:rFonts w:ascii="Arial" w:hAnsi="Arial" w:cs="Arial"/>
          <w:b/>
          <w:bCs/>
          <w:sz w:val="22"/>
          <w:szCs w:val="22"/>
        </w:rPr>
        <w:t xml:space="preserve">El Estado es el garante de las condiciones financieras – VINCULACIÓN </w:t>
      </w:r>
    </w:p>
    <w:p w14:paraId="435879A5" w14:textId="77777777" w:rsidR="009273FD" w:rsidRPr="000F53FD" w:rsidRDefault="009273FD" w:rsidP="009273FD">
      <w:pPr>
        <w:pStyle w:val="Prrafodelista"/>
        <w:jc w:val="both"/>
        <w:rPr>
          <w:rFonts w:ascii="Arial" w:hAnsi="Arial" w:cs="Arial"/>
          <w:b/>
          <w:bCs/>
          <w:sz w:val="22"/>
          <w:szCs w:val="22"/>
        </w:rPr>
      </w:pPr>
    </w:p>
    <w:p w14:paraId="343F7646" w14:textId="77777777" w:rsidR="009273FD" w:rsidRPr="009B530C" w:rsidRDefault="009273FD" w:rsidP="009273FD">
      <w:pPr>
        <w:widowControl w:val="0"/>
        <w:autoSpaceDE w:val="0"/>
        <w:autoSpaceDN w:val="0"/>
        <w:ind w:left="709"/>
        <w:jc w:val="both"/>
        <w:rPr>
          <w:rFonts w:ascii="Arial" w:eastAsia="Times New Roman" w:hAnsi="Arial" w:cs="Arial"/>
          <w:b/>
          <w:bCs/>
          <w:sz w:val="22"/>
          <w:szCs w:val="22"/>
          <w:lang w:val="es-CO" w:eastAsia="en-US"/>
        </w:rPr>
      </w:pPr>
      <w:r w:rsidRPr="009B530C">
        <w:rPr>
          <w:rFonts w:ascii="Arial" w:eastAsia="Times New Roman" w:hAnsi="Arial" w:cs="Arial"/>
          <w:sz w:val="22"/>
          <w:szCs w:val="22"/>
          <w:lang w:val="es-CO" w:eastAsia="en-US"/>
        </w:rPr>
        <w:lastRenderedPageBreak/>
        <w:t xml:space="preserve">Como punto de partida, consideramos importante señalar que, de acuerdo con la Constitución colombiana en sus artículos 48 y 49 y la Ley 100 de 993 en sus artículos 4° y 5°, la seguridad social y el servicio de salud son servicios públicos a cargo del Estado, y si bien puede delegar en particulares la prestación del servicio, el deber de garantizar las condiciones para que esta prestación pueda hacerse efectiva se encuentra a cargo del Estado y es de carácter indelegable. </w:t>
      </w:r>
      <w:r w:rsidRPr="009B530C">
        <w:rPr>
          <w:rFonts w:ascii="Arial" w:eastAsia="Times New Roman" w:hAnsi="Arial" w:cs="Arial"/>
          <w:b/>
          <w:bCs/>
          <w:sz w:val="22"/>
          <w:szCs w:val="22"/>
          <w:lang w:val="es-CO" w:eastAsia="en-US"/>
        </w:rPr>
        <w:t>De este modo, el Estado se encuentra facultado para delegar una acción que consistente en la “prestación de los servicios de salud”, pero no puede, en ningún caso, delegar la responsabilidad de garantizarlas condiciones económicas que permitan que, tanto actores públicos como privados, en el marco de sus funciones, puedan materializar una efectiva prestación de los servicios de salud.</w:t>
      </w:r>
    </w:p>
    <w:p w14:paraId="01A93247" w14:textId="77777777" w:rsidR="009273FD" w:rsidRPr="009B530C" w:rsidRDefault="009273FD" w:rsidP="009273FD">
      <w:pPr>
        <w:widowControl w:val="0"/>
        <w:autoSpaceDE w:val="0"/>
        <w:autoSpaceDN w:val="0"/>
        <w:ind w:left="709"/>
        <w:jc w:val="both"/>
        <w:rPr>
          <w:rFonts w:ascii="Arial" w:eastAsia="Times New Roman" w:hAnsi="Arial" w:cs="Arial"/>
          <w:sz w:val="22"/>
          <w:szCs w:val="22"/>
          <w:lang w:val="es-CO" w:eastAsia="en-US"/>
        </w:rPr>
      </w:pPr>
    </w:p>
    <w:p w14:paraId="52FA6EE9" w14:textId="77777777" w:rsidR="009273FD" w:rsidRPr="009B530C" w:rsidRDefault="009273FD" w:rsidP="009273FD">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 xml:space="preserve">Los valores asignados como presupuesto máximo (PM) para el cubrimiento de las necesidades y servicios no financiados con la UPC, no han sido suficientes, así lo ha señalado EPS SURA en múltiples ocasiones, pues ha procurado exponer desde años atrás al Ministerio de Salud, la ADRES y la Supersalud los argumentos técnicos y jurídicos que demuestran su responsabilidad respecto a la insuficiencia de los recursos que son destinados para el financiamiento del Sistema General de Seguridad Social en Salud (SGSSS). </w:t>
      </w:r>
    </w:p>
    <w:p w14:paraId="6C7DC56C" w14:textId="77777777" w:rsidR="009273FD" w:rsidRPr="009B530C" w:rsidRDefault="009273FD" w:rsidP="009273FD">
      <w:pPr>
        <w:widowControl w:val="0"/>
        <w:autoSpaceDE w:val="0"/>
        <w:autoSpaceDN w:val="0"/>
        <w:ind w:left="709"/>
        <w:jc w:val="both"/>
        <w:rPr>
          <w:rFonts w:ascii="Arial" w:eastAsia="Times New Roman" w:hAnsi="Arial" w:cs="Arial"/>
          <w:sz w:val="22"/>
          <w:szCs w:val="22"/>
          <w:lang w:val="es-CO" w:eastAsia="en-US"/>
        </w:rPr>
      </w:pPr>
    </w:p>
    <w:p w14:paraId="300BB14D" w14:textId="77777777" w:rsidR="009273FD" w:rsidRPr="009B530C" w:rsidRDefault="009273FD" w:rsidP="009273FD">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Aunado a lo anterior y teniendo en cuenta que, los PM no son una prima que reciba la EPS para garantizar aseguramiento se hace necesaria la vinculación del Ministerio y la ADRES, como deudores naturales y responsables directos, de las prestaciones NO PBS que superan el tope girado por concepto de presupuestos máximos a las acciones que vinculen a la EPS, por prestaciones NO PBS.</w:t>
      </w:r>
    </w:p>
    <w:p w14:paraId="4B9DB48F" w14:textId="77777777" w:rsidR="009273FD" w:rsidRPr="009B530C" w:rsidRDefault="009273FD" w:rsidP="009273FD">
      <w:pPr>
        <w:widowControl w:val="0"/>
        <w:autoSpaceDE w:val="0"/>
        <w:autoSpaceDN w:val="0"/>
        <w:ind w:left="709"/>
        <w:jc w:val="both"/>
        <w:rPr>
          <w:rFonts w:ascii="Arial" w:eastAsia="Times New Roman" w:hAnsi="Arial" w:cs="Arial"/>
          <w:sz w:val="22"/>
          <w:szCs w:val="22"/>
          <w:lang w:val="es-CO" w:eastAsia="en-US"/>
        </w:rPr>
      </w:pPr>
    </w:p>
    <w:p w14:paraId="7C24A6C4" w14:textId="77777777" w:rsidR="009273FD" w:rsidRPr="009B530C" w:rsidRDefault="009273FD" w:rsidP="009273FD">
      <w:pPr>
        <w:widowControl w:val="0"/>
        <w:autoSpaceDE w:val="0"/>
        <w:autoSpaceDN w:val="0"/>
        <w:ind w:left="709"/>
        <w:jc w:val="both"/>
        <w:rPr>
          <w:rFonts w:ascii="Arial" w:eastAsia="Times New Roman" w:hAnsi="Arial" w:cs="Arial"/>
          <w:sz w:val="22"/>
          <w:szCs w:val="22"/>
          <w:lang w:val="es-CO" w:eastAsia="en-US"/>
        </w:rPr>
      </w:pPr>
      <w:r w:rsidRPr="009B530C">
        <w:rPr>
          <w:rFonts w:ascii="Arial" w:eastAsia="Times New Roman" w:hAnsi="Arial" w:cs="Arial"/>
          <w:sz w:val="22"/>
          <w:szCs w:val="22"/>
          <w:lang w:val="es-CO" w:eastAsia="en-US"/>
        </w:rPr>
        <w:t>Cómo antecedente jurisprudencial, la sentencia C-162 de 2022, que examinó la constitucionalidad del artículo 240 de la Ley 1955 de 2019, en palabras de la Corte Constitucional al referirse al artículo, se precisa que, la norma en comento no establece que las EPS deban asumir con su propio patrimonio el costo de los servicios no cubiertos por el Plan de Beneficios en Salud cuando superen el monto de los techos o presupuestos máximos:</w:t>
      </w:r>
    </w:p>
    <w:p w14:paraId="251E9EB9" w14:textId="77777777" w:rsidR="009273FD" w:rsidRPr="009B530C" w:rsidRDefault="009273FD" w:rsidP="009273FD">
      <w:pPr>
        <w:widowControl w:val="0"/>
        <w:autoSpaceDE w:val="0"/>
        <w:autoSpaceDN w:val="0"/>
        <w:ind w:left="1069"/>
        <w:jc w:val="both"/>
        <w:rPr>
          <w:rFonts w:ascii="Arial" w:eastAsia="Times New Roman" w:hAnsi="Arial" w:cs="Arial"/>
          <w:sz w:val="22"/>
          <w:szCs w:val="22"/>
          <w:lang w:val="es-CO" w:eastAsia="en-US"/>
        </w:rPr>
      </w:pPr>
    </w:p>
    <w:p w14:paraId="22BBD9E1" w14:textId="77777777" w:rsidR="009273FD" w:rsidRPr="009B530C" w:rsidRDefault="009273FD" w:rsidP="009273FD">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“…el artículo demandado no establece, ni siquiera implícitamente, que las EPS deban ser las responsables por la financiación de los servicios y tecnologías no cubiertos UPC cuando su prestación supere los techos presupuestales aludidos”.</w:t>
      </w:r>
    </w:p>
    <w:p w14:paraId="1BA248D5" w14:textId="77777777" w:rsidR="009273FD" w:rsidRPr="009B530C" w:rsidRDefault="009273FD" w:rsidP="009273FD">
      <w:pPr>
        <w:widowControl w:val="0"/>
        <w:autoSpaceDE w:val="0"/>
        <w:autoSpaceDN w:val="0"/>
        <w:ind w:left="709"/>
        <w:jc w:val="both"/>
        <w:rPr>
          <w:rFonts w:ascii="Arial" w:eastAsia="Arial" w:hAnsi="Arial" w:cs="Arial"/>
          <w:sz w:val="22"/>
          <w:szCs w:val="22"/>
          <w:lang w:val="es-CO" w:eastAsia="es-ES" w:bidi="es-ES"/>
        </w:rPr>
      </w:pPr>
    </w:p>
    <w:p w14:paraId="3BD0E0C8" w14:textId="77777777" w:rsidR="009273FD" w:rsidRPr="009B530C" w:rsidRDefault="009273FD" w:rsidP="009273FD">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la fijación del mecanismo denominado “presupuestos máximos” no implica que las EPS deban sufragar, con cargo a sus recursos propios, la prestación de servicios no cubiertos con la UPC, sino que ello comporta el pago anticipado de los mismos con miras a buscar el manejo eficiente de los recursos (…)</w:t>
      </w:r>
    </w:p>
    <w:p w14:paraId="574C247C" w14:textId="77777777" w:rsidR="009273FD" w:rsidRPr="009B530C" w:rsidRDefault="009273FD" w:rsidP="009273FD">
      <w:pPr>
        <w:widowControl w:val="0"/>
        <w:autoSpaceDE w:val="0"/>
        <w:autoSpaceDN w:val="0"/>
        <w:ind w:left="709"/>
        <w:jc w:val="both"/>
        <w:rPr>
          <w:rFonts w:ascii="Arial" w:eastAsia="Arial" w:hAnsi="Arial" w:cs="Arial"/>
          <w:i/>
          <w:iCs/>
          <w:sz w:val="22"/>
          <w:szCs w:val="22"/>
          <w:lang w:val="es-CO" w:eastAsia="es-ES" w:bidi="es-ES"/>
        </w:rPr>
      </w:pPr>
    </w:p>
    <w:p w14:paraId="1F207BFF" w14:textId="77777777" w:rsidR="009273FD" w:rsidRPr="009B530C" w:rsidRDefault="009273FD" w:rsidP="009273FD">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 xml:space="preserve">En la misma sentencia, la Corte incluso resaltó el deber de Ministerio de Salud de reajustar los presupuestos máximos en caso de que fuera insuficientes para la financiación de los servicios NO PBS: </w:t>
      </w:r>
    </w:p>
    <w:p w14:paraId="3C419C09" w14:textId="77777777" w:rsidR="009273FD" w:rsidRPr="009B530C" w:rsidRDefault="009273FD" w:rsidP="009273FD">
      <w:pPr>
        <w:widowControl w:val="0"/>
        <w:autoSpaceDE w:val="0"/>
        <w:autoSpaceDN w:val="0"/>
        <w:ind w:left="709"/>
        <w:jc w:val="both"/>
        <w:rPr>
          <w:rFonts w:ascii="Arial" w:eastAsia="Arial" w:hAnsi="Arial" w:cs="Arial"/>
          <w:sz w:val="22"/>
          <w:szCs w:val="22"/>
          <w:lang w:val="es-CO" w:eastAsia="es-ES" w:bidi="es-ES"/>
        </w:rPr>
      </w:pPr>
    </w:p>
    <w:p w14:paraId="3C0BDA2A" w14:textId="77777777" w:rsidR="009273FD" w:rsidRPr="009B530C" w:rsidRDefault="009273FD" w:rsidP="009273FD">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xml:space="preserve">(…) en el marco del mecanismo de presupuestos máximos, corresponde al </w:t>
      </w:r>
      <w:r w:rsidRPr="009B530C">
        <w:rPr>
          <w:rFonts w:ascii="Arial" w:eastAsia="Arial" w:hAnsi="Arial" w:cs="Arial"/>
          <w:i/>
          <w:iCs/>
          <w:sz w:val="22"/>
          <w:szCs w:val="22"/>
          <w:lang w:val="es-CO" w:eastAsia="es-ES" w:bidi="es-ES"/>
        </w:rPr>
        <w:lastRenderedPageBreak/>
        <w:t>Ministerio de Salud y Protección Social calcular los techos presupuestales y reajustar su valor si son superados (…)</w:t>
      </w:r>
    </w:p>
    <w:p w14:paraId="2DBD4F61" w14:textId="77777777" w:rsidR="009273FD" w:rsidRPr="009B530C" w:rsidRDefault="009273FD" w:rsidP="009273FD">
      <w:pPr>
        <w:widowControl w:val="0"/>
        <w:autoSpaceDE w:val="0"/>
        <w:autoSpaceDN w:val="0"/>
        <w:ind w:left="709"/>
        <w:jc w:val="both"/>
        <w:rPr>
          <w:rFonts w:ascii="Arial" w:eastAsia="Arial" w:hAnsi="Arial" w:cs="Arial"/>
          <w:sz w:val="22"/>
          <w:szCs w:val="22"/>
          <w:lang w:val="es-CO" w:eastAsia="es-ES" w:bidi="es-ES"/>
        </w:rPr>
      </w:pPr>
    </w:p>
    <w:p w14:paraId="529B1913" w14:textId="77777777" w:rsidR="009273FD" w:rsidRPr="009B530C" w:rsidRDefault="009273FD" w:rsidP="009273FD">
      <w:pPr>
        <w:widowControl w:val="0"/>
        <w:autoSpaceDE w:val="0"/>
        <w:autoSpaceDN w:val="0"/>
        <w:ind w:left="709"/>
        <w:jc w:val="both"/>
        <w:rPr>
          <w:rFonts w:ascii="Arial" w:eastAsia="Arial" w:hAnsi="Arial" w:cs="Arial"/>
          <w:sz w:val="22"/>
          <w:szCs w:val="22"/>
          <w:lang w:val="es-CO" w:eastAsia="es-ES" w:bidi="es-ES"/>
        </w:rPr>
      </w:pPr>
      <w:r w:rsidRPr="009B530C">
        <w:rPr>
          <w:rFonts w:ascii="Arial" w:eastAsia="Arial" w:hAnsi="Arial" w:cs="Arial"/>
          <w:sz w:val="22"/>
          <w:szCs w:val="22"/>
          <w:lang w:val="es-CO" w:eastAsia="es-ES" w:bidi="es-ES"/>
        </w:rPr>
        <w:t>La misma providencia citando ACEMI precisa que, la siniestralidad no tiene porqué impactar a la EPS, porque Ministerio de Salud está obligado a realizar los respectivos ajustes</w:t>
      </w:r>
    </w:p>
    <w:p w14:paraId="231DC9C4" w14:textId="77777777" w:rsidR="009273FD" w:rsidRPr="009B530C" w:rsidRDefault="009273FD" w:rsidP="009273FD">
      <w:pPr>
        <w:widowControl w:val="0"/>
        <w:autoSpaceDE w:val="0"/>
        <w:autoSpaceDN w:val="0"/>
        <w:ind w:left="709"/>
        <w:jc w:val="both"/>
        <w:rPr>
          <w:rFonts w:ascii="Arial" w:eastAsia="Arial" w:hAnsi="Arial" w:cs="Arial"/>
          <w:sz w:val="22"/>
          <w:szCs w:val="22"/>
          <w:lang w:val="es-CO" w:eastAsia="es-ES" w:bidi="es-ES"/>
        </w:rPr>
      </w:pPr>
    </w:p>
    <w:p w14:paraId="48D23234" w14:textId="77777777" w:rsidR="009273FD" w:rsidRPr="009B530C" w:rsidRDefault="009273FD" w:rsidP="009273FD">
      <w:pPr>
        <w:widowControl w:val="0"/>
        <w:autoSpaceDE w:val="0"/>
        <w:autoSpaceDN w:val="0"/>
        <w:ind w:left="1417"/>
        <w:jc w:val="both"/>
        <w:rPr>
          <w:rFonts w:ascii="Arial" w:eastAsia="Arial" w:hAnsi="Arial" w:cs="Arial"/>
          <w:i/>
          <w:iCs/>
          <w:sz w:val="22"/>
          <w:szCs w:val="22"/>
          <w:lang w:val="es-CO" w:eastAsia="es-ES" w:bidi="es-ES"/>
        </w:rPr>
      </w:pPr>
      <w:r w:rsidRPr="009B530C">
        <w:rPr>
          <w:rFonts w:ascii="Arial" w:eastAsia="Arial" w:hAnsi="Arial" w:cs="Arial"/>
          <w:i/>
          <w:iCs/>
          <w:sz w:val="22"/>
          <w:szCs w:val="22"/>
          <w:lang w:val="es-CO" w:eastAsia="es-ES" w:bidi="es-ES"/>
        </w:rPr>
        <w:t xml:space="preserve"> (…) Las EPS no adquieren la obligación de garantizar el suministro de las tecnologías y servicios no financiadas con UPC, sino que realizan una gestión de los recursos. En consecuencia, la siniestralidad no tiene porqué impactar a la EPS, porque Minsalud está obligado a realizar los respectivos ajustes a los presupuestos máximos, y por ello los techos no tienen por qué tener incidencia alguna en las exigencias de solvencia de las EPS. (…)</w:t>
      </w:r>
    </w:p>
    <w:p w14:paraId="42DCD21A" w14:textId="77777777" w:rsidR="009273FD" w:rsidRPr="009B530C" w:rsidRDefault="009273FD" w:rsidP="009273FD">
      <w:pPr>
        <w:ind w:left="709"/>
        <w:rPr>
          <w:rFonts w:ascii="Arial" w:eastAsia="Calibri" w:hAnsi="Arial" w:cs="Arial"/>
          <w:kern w:val="2"/>
          <w:sz w:val="22"/>
          <w:szCs w:val="22"/>
          <w:lang w:val="es-CO" w:eastAsia="en-US"/>
          <w14:ligatures w14:val="standardContextual"/>
        </w:rPr>
      </w:pPr>
    </w:p>
    <w:p w14:paraId="2C7507CA" w14:textId="77777777" w:rsidR="009273FD" w:rsidRPr="000F53FD" w:rsidRDefault="009273FD" w:rsidP="009273FD">
      <w:pPr>
        <w:pStyle w:val="Prrafodelista"/>
        <w:ind w:left="1429"/>
        <w:jc w:val="both"/>
        <w:rPr>
          <w:rFonts w:ascii="Arial" w:hAnsi="Arial" w:cs="Arial"/>
          <w:b/>
          <w:bCs/>
          <w:sz w:val="22"/>
          <w:szCs w:val="22"/>
        </w:rPr>
      </w:pPr>
      <w:r w:rsidRPr="000F53FD">
        <w:rPr>
          <w:rFonts w:ascii="Arial" w:eastAsia="Calibri" w:hAnsi="Arial" w:cs="Arial"/>
          <w:kern w:val="2"/>
          <w:sz w:val="22"/>
          <w:szCs w:val="22"/>
          <w:lang w:val="es-CO" w:eastAsia="en-US"/>
          <w14:ligatures w14:val="standardContextual"/>
        </w:rPr>
        <w:t>La insuficiencia indicada, impacta negativamente el sistema, generando afectaciones en la prestación de los servicios NO PBS debido a que los prestadores se están quedando sin flujo de caja afectando directamente las atenciones y de forma conexa, menoscabando el equilibrio financiero en el Sistema de Seguridad Social en Salud (principio de sostenibilidad) y conforme a ello requerimos al despacho vincular al deudor natural de la obligación, el Ministerio de salud, en cabeza de la ADRES, para que asuma la facturación que supera el tope girado por concepto de presupuestos máximos.</w:t>
      </w:r>
    </w:p>
    <w:p w14:paraId="20B889C8" w14:textId="77777777" w:rsidR="009273FD" w:rsidRPr="000F53FD" w:rsidRDefault="009273FD" w:rsidP="009273FD">
      <w:pPr>
        <w:pStyle w:val="Prrafodelista"/>
        <w:jc w:val="both"/>
        <w:rPr>
          <w:rFonts w:ascii="Arial" w:hAnsi="Arial" w:cs="Arial"/>
          <w:b/>
          <w:bCs/>
          <w:sz w:val="22"/>
          <w:szCs w:val="22"/>
        </w:rPr>
      </w:pPr>
    </w:p>
    <w:p w14:paraId="628A7660" w14:textId="77777777" w:rsidR="009273FD" w:rsidRPr="000F53FD" w:rsidRDefault="009273FD" w:rsidP="009273FD">
      <w:pPr>
        <w:pStyle w:val="Prrafodelista"/>
        <w:numPr>
          <w:ilvl w:val="0"/>
          <w:numId w:val="8"/>
        </w:numPr>
        <w:jc w:val="both"/>
        <w:rPr>
          <w:rFonts w:ascii="Arial" w:hAnsi="Arial" w:cs="Arial"/>
          <w:b/>
          <w:bCs/>
          <w:sz w:val="22"/>
          <w:szCs w:val="22"/>
        </w:rPr>
      </w:pPr>
      <w:r w:rsidRPr="000F53FD">
        <w:rPr>
          <w:rFonts w:ascii="Arial" w:hAnsi="Arial" w:cs="Arial"/>
          <w:b/>
          <w:bCs/>
          <w:sz w:val="22"/>
          <w:szCs w:val="22"/>
        </w:rPr>
        <w:t>Recobro ante la ADRES:</w:t>
      </w:r>
    </w:p>
    <w:p w14:paraId="74EC2DF8" w14:textId="77777777" w:rsidR="009273FD" w:rsidRPr="000F53FD" w:rsidRDefault="009273FD" w:rsidP="009273FD">
      <w:pPr>
        <w:pStyle w:val="Prrafodelista"/>
        <w:jc w:val="both"/>
        <w:rPr>
          <w:rFonts w:ascii="Arial" w:hAnsi="Arial" w:cs="Arial"/>
          <w:b/>
          <w:bCs/>
          <w:sz w:val="22"/>
          <w:szCs w:val="22"/>
        </w:rPr>
      </w:pPr>
    </w:p>
    <w:p w14:paraId="23AC6EEB" w14:textId="77777777" w:rsidR="009273FD" w:rsidRPr="00AC32E7" w:rsidRDefault="009273FD" w:rsidP="009273FD">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La falta de entrega de los recursos para la financiación de servicios NO PBS también tiene implicaciones legales. En el caso de que las EPS se vean obligadas por mecanismos judiciales (como acciones de tutela) a suministrar estas prestaciones sin haber recibido previamente los recursos del Estado, </w:t>
      </w:r>
      <w:r w:rsidRPr="00AC32E7">
        <w:rPr>
          <w:rFonts w:ascii="Arial" w:eastAsia="Calibri" w:hAnsi="Arial" w:cs="Arial"/>
          <w:b/>
          <w:bCs/>
          <w:kern w:val="2"/>
          <w:sz w:val="22"/>
          <w:szCs w:val="22"/>
          <w:u w:val="single"/>
          <w:lang w:val="es-CO" w:eastAsia="en-US"/>
          <w14:ligatures w14:val="standardContextual"/>
        </w:rPr>
        <w:t>se legitima el derecho de las EPS a recobrar tales valores ante la ADRES</w:t>
      </w:r>
      <w:r w:rsidRPr="00AC32E7">
        <w:rPr>
          <w:rFonts w:ascii="Arial" w:eastAsia="Calibri" w:hAnsi="Arial" w:cs="Arial"/>
          <w:kern w:val="2"/>
          <w:sz w:val="22"/>
          <w:szCs w:val="22"/>
          <w:lang w:val="es-CO" w:eastAsia="en-US"/>
          <w14:ligatures w14:val="standardContextual"/>
        </w:rPr>
        <w:t>. Este mecanismo de recobro, por tanto, debe estar garantizado como una medida compensatoria para evitar que las EPS asuman obligaciones que, en esencia, corresponden al Estado.</w:t>
      </w:r>
    </w:p>
    <w:p w14:paraId="2927EF89" w14:textId="77777777" w:rsidR="009273FD" w:rsidRPr="00AC32E7" w:rsidRDefault="009273FD" w:rsidP="009273FD">
      <w:pPr>
        <w:ind w:left="709"/>
        <w:jc w:val="both"/>
        <w:rPr>
          <w:rFonts w:ascii="Arial" w:eastAsia="Calibri" w:hAnsi="Arial" w:cs="Arial"/>
          <w:kern w:val="2"/>
          <w:sz w:val="22"/>
          <w:szCs w:val="22"/>
          <w:lang w:val="es-CO" w:eastAsia="en-US"/>
          <w14:ligatures w14:val="standardContextual"/>
        </w:rPr>
      </w:pPr>
    </w:p>
    <w:p w14:paraId="7C1D1D27" w14:textId="77777777" w:rsidR="009273FD" w:rsidRPr="00AC32E7" w:rsidRDefault="009273FD" w:rsidP="009273FD">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En conclusión, el Estado tiene la obligación de garantizar el financiamiento oportuno de las tecnologías NO PBS, ya que la imposibilidad de las EPS para gestionar recursos que no han sido girados afecta la estabilidad del sistema y, lo más importante, el acceso efectivo de los usuarios a los servicios de salud.</w:t>
      </w:r>
    </w:p>
    <w:p w14:paraId="03F45ED4" w14:textId="77777777" w:rsidR="009273FD" w:rsidRPr="00AC32E7" w:rsidRDefault="009273FD" w:rsidP="009273FD">
      <w:pPr>
        <w:ind w:left="709"/>
        <w:jc w:val="both"/>
        <w:rPr>
          <w:rFonts w:ascii="Arial" w:eastAsia="Calibri" w:hAnsi="Arial" w:cs="Arial"/>
          <w:kern w:val="2"/>
          <w:sz w:val="22"/>
          <w:szCs w:val="22"/>
          <w:lang w:val="es-CO" w:eastAsia="en-US"/>
          <w14:ligatures w14:val="standardContextual"/>
        </w:rPr>
      </w:pPr>
    </w:p>
    <w:p w14:paraId="50E68FA8" w14:textId="77777777" w:rsidR="009273FD" w:rsidRPr="00AC32E7" w:rsidRDefault="009273FD" w:rsidP="009273FD">
      <w:pPr>
        <w:ind w:left="709"/>
        <w:jc w:val="both"/>
        <w:rPr>
          <w:rFonts w:ascii="Arial" w:eastAsia="Calibri" w:hAnsi="Arial" w:cs="Arial"/>
          <w:kern w:val="2"/>
          <w:sz w:val="22"/>
          <w:szCs w:val="22"/>
          <w:lang w:val="es-CO" w:eastAsia="en-US"/>
          <w14:ligatures w14:val="standardContextual"/>
        </w:rPr>
      </w:pPr>
      <w:r w:rsidRPr="00AC32E7">
        <w:rPr>
          <w:rFonts w:ascii="Arial" w:eastAsia="Calibri" w:hAnsi="Arial" w:cs="Arial"/>
          <w:kern w:val="2"/>
          <w:sz w:val="22"/>
          <w:szCs w:val="22"/>
          <w:lang w:val="es-CO" w:eastAsia="en-US"/>
          <w14:ligatures w14:val="standardContextual"/>
        </w:rPr>
        <w:t xml:space="preserve">En este orden de ideas, en caso de que el Despacho decida ordenar a la EPS la prestación de una tecnología o servicio NO PBS, pese a no haber recibido los recursos correspondientes bajo la metodología de "presupuestos máximos", solicitamos, de manera subsidiaria, </w:t>
      </w:r>
      <w:r w:rsidRPr="00AC32E7">
        <w:rPr>
          <w:rFonts w:ascii="Arial" w:eastAsia="Calibri" w:hAnsi="Arial" w:cs="Arial"/>
          <w:b/>
          <w:bCs/>
          <w:kern w:val="2"/>
          <w:sz w:val="22"/>
          <w:szCs w:val="22"/>
          <w:u w:val="single"/>
          <w:lang w:val="es-CO" w:eastAsia="en-US"/>
          <w14:ligatures w14:val="standardContextual"/>
        </w:rPr>
        <w:t>SE AUTORICE EL RECOBRO ANTE LA ADRES</w:t>
      </w:r>
      <w:r w:rsidRPr="00AC32E7">
        <w:rPr>
          <w:rFonts w:ascii="Arial" w:eastAsia="Calibri" w:hAnsi="Arial" w:cs="Arial"/>
          <w:kern w:val="2"/>
          <w:sz w:val="22"/>
          <w:szCs w:val="22"/>
          <w:lang w:val="es-CO" w:eastAsia="en-US"/>
          <w14:ligatures w14:val="standardContextual"/>
        </w:rPr>
        <w:t xml:space="preserve"> de los recursos necesarios para el cumplimiento del fallo de tutela. Esto garantiza que la EPS no asuma una obligación financiera que, según la normatividad vigente, es responsabilidad del Estado</w:t>
      </w:r>
      <w:r>
        <w:rPr>
          <w:rFonts w:ascii="Arial" w:eastAsia="Calibri" w:hAnsi="Arial" w:cs="Arial"/>
          <w:kern w:val="2"/>
          <w:sz w:val="22"/>
          <w:szCs w:val="22"/>
          <w:lang w:val="es-CO" w:eastAsia="en-US"/>
          <w14:ligatures w14:val="standardContextual"/>
        </w:rPr>
        <w:t>.</w:t>
      </w:r>
    </w:p>
    <w:p w14:paraId="3821F30D" w14:textId="77777777" w:rsidR="009273FD" w:rsidRDefault="009273FD" w:rsidP="009273FD">
      <w:pPr>
        <w:pStyle w:val="Prrafodelista"/>
        <w:jc w:val="both"/>
        <w:rPr>
          <w:rFonts w:ascii="Arial" w:hAnsi="Arial" w:cs="Arial"/>
          <w:b/>
          <w:bCs/>
          <w:sz w:val="22"/>
          <w:szCs w:val="22"/>
        </w:rPr>
      </w:pPr>
    </w:p>
    <w:p w14:paraId="30D39251" w14:textId="77777777" w:rsidR="00E850EF" w:rsidRPr="000F53FD" w:rsidRDefault="00E850EF" w:rsidP="00E850EF">
      <w:pPr>
        <w:pStyle w:val="Prrafodelista"/>
        <w:numPr>
          <w:ilvl w:val="0"/>
          <w:numId w:val="8"/>
        </w:numPr>
        <w:jc w:val="both"/>
        <w:rPr>
          <w:rFonts w:ascii="Arial" w:hAnsi="Arial" w:cs="Arial"/>
          <w:sz w:val="22"/>
          <w:szCs w:val="22"/>
        </w:rPr>
      </w:pPr>
      <w:r w:rsidRPr="000F53FD">
        <w:rPr>
          <w:rFonts w:ascii="Arial" w:hAnsi="Arial" w:cs="Arial"/>
          <w:b/>
          <w:bCs/>
          <w:sz w:val="22"/>
          <w:szCs w:val="22"/>
        </w:rPr>
        <w:t>No existe vulneración de derecho fundamental alguno</w:t>
      </w:r>
      <w:r w:rsidRPr="000F53FD">
        <w:rPr>
          <w:rFonts w:ascii="Arial" w:hAnsi="Arial" w:cs="Arial"/>
          <w:sz w:val="22"/>
          <w:szCs w:val="22"/>
        </w:rPr>
        <w:t>:</w:t>
      </w:r>
    </w:p>
    <w:p w14:paraId="3FA0EAF1" w14:textId="77777777" w:rsidR="00E850EF" w:rsidRPr="000F53FD" w:rsidRDefault="00E850EF" w:rsidP="00E850EF">
      <w:pPr>
        <w:pStyle w:val="Prrafodelista"/>
        <w:jc w:val="both"/>
        <w:rPr>
          <w:rFonts w:ascii="Arial" w:hAnsi="Arial" w:cs="Arial"/>
          <w:sz w:val="22"/>
          <w:szCs w:val="22"/>
        </w:rPr>
      </w:pPr>
    </w:p>
    <w:p w14:paraId="1B61FE43"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lastRenderedPageBreak/>
        <w:t xml:space="preserve">El concepto de derecho fundamental es quizá el más importante de las Constituciones contemporáneas. Colombia acogió esta figura en la Constitución de 1991. Una definición sintética de estos derechos es la siguiente: son los derechos inherentes a la persona humana. Es por esto por lo que se ha creado un mecanismo que tiene como función principal la protección de tales derechos. </w:t>
      </w:r>
    </w:p>
    <w:p w14:paraId="19641A99" w14:textId="77777777" w:rsidR="00E850EF" w:rsidRPr="000F53FD" w:rsidRDefault="00E850EF" w:rsidP="00E850EF">
      <w:pPr>
        <w:pStyle w:val="Prrafodelista"/>
        <w:jc w:val="both"/>
        <w:rPr>
          <w:rFonts w:ascii="Arial" w:hAnsi="Arial" w:cs="Arial"/>
          <w:sz w:val="22"/>
          <w:szCs w:val="22"/>
        </w:rPr>
      </w:pPr>
    </w:p>
    <w:p w14:paraId="305D1349"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t xml:space="preserve">Ha expresado la Corte Constitucional: </w:t>
      </w:r>
    </w:p>
    <w:p w14:paraId="7DB997BB" w14:textId="77777777" w:rsidR="00E850EF" w:rsidRPr="000F53FD" w:rsidRDefault="00E850EF" w:rsidP="00E850EF">
      <w:pPr>
        <w:jc w:val="both"/>
        <w:rPr>
          <w:rFonts w:ascii="Arial" w:hAnsi="Arial" w:cs="Arial"/>
          <w:sz w:val="22"/>
          <w:szCs w:val="22"/>
        </w:rPr>
      </w:pPr>
    </w:p>
    <w:p w14:paraId="53FED453"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t xml:space="preserve">“(…) </w:t>
      </w:r>
      <w:r w:rsidRPr="000F53FD">
        <w:rPr>
          <w:rFonts w:ascii="Arial" w:hAnsi="Arial" w:cs="Arial"/>
          <w:i/>
          <w:iCs/>
          <w:sz w:val="22"/>
          <w:szCs w:val="22"/>
        </w:rPr>
        <w:t>En efecto, al igual que en toda situación de grave afectación de derechos fundamentales, la acción de tutela procede como mecanismo transitorio que desplaza la competencia del juez ordinario mientras se profiere el fallo correspondiente. En este caso, es fundamental demostrar la premura en la intervención judicial, la gravedad del perjuicio que sigue a la demora en resolver el asunto y la existencia de un derecho fundamental afectado</w:t>
      </w:r>
      <w:r w:rsidRPr="000F53FD">
        <w:rPr>
          <w:rFonts w:ascii="Arial" w:hAnsi="Arial" w:cs="Arial"/>
          <w:sz w:val="22"/>
          <w:szCs w:val="22"/>
        </w:rPr>
        <w:t xml:space="preserve"> (…)” </w:t>
      </w:r>
    </w:p>
    <w:p w14:paraId="72244380" w14:textId="77777777" w:rsidR="00E850EF" w:rsidRPr="000F53FD" w:rsidRDefault="00E850EF" w:rsidP="00E850EF">
      <w:pPr>
        <w:pStyle w:val="Prrafodelista"/>
        <w:jc w:val="both"/>
        <w:rPr>
          <w:rFonts w:ascii="Arial" w:hAnsi="Arial" w:cs="Arial"/>
          <w:sz w:val="22"/>
          <w:szCs w:val="22"/>
        </w:rPr>
      </w:pPr>
    </w:p>
    <w:p w14:paraId="743E6D0C"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t>El artículo 86 de la Constitución Política ha consagrado la acción de tutela con el fin de obtener la protección de los derechos fundamentales, cuando quiera que estos resulten vulnerados o amenazados por la acción o la omisión de cualquier autoridad pública o de un particular en los casos expresamente señalados por sus normas reglamentarias, siempre que quien la invoque, no disponga para el efecto de otros medios de defensa judiciales.</w:t>
      </w:r>
    </w:p>
    <w:p w14:paraId="19EA66C3"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br/>
        <w:t>A su vez, sobre la procedencia de la acción de tutela el artículo 5° del Decreto 2591 de A 1991 establece: “</w:t>
      </w:r>
      <w:r w:rsidRPr="000F53FD">
        <w:rPr>
          <w:rFonts w:ascii="Arial" w:hAnsi="Arial" w:cs="Arial"/>
          <w:i/>
          <w:iCs/>
          <w:sz w:val="22"/>
          <w:szCs w:val="22"/>
        </w:rPr>
        <w:t>PROCEDENCIA DE LA ACCIÓN DE TUTELA: La acción de tutela procede contra toda acción u omisión de las autoridades públicas, que haya violado, viole o amenace violar cualquiera de los derechos de que trata el artículo 2o. de esta ley. También procede contra acciones u omisiones de particulares, de conformidad con lo establecido en el Capítulo III de este Decreto. La procedencia de la tutela en ningún caso está sujeta a que la acción de la autoridad o del particular se haya manifestado en un acto jurídico escrito</w:t>
      </w:r>
      <w:r w:rsidRPr="000F53FD">
        <w:rPr>
          <w:rFonts w:ascii="Arial" w:hAnsi="Arial" w:cs="Arial"/>
          <w:sz w:val="22"/>
          <w:szCs w:val="22"/>
        </w:rPr>
        <w:t>”.</w:t>
      </w:r>
    </w:p>
    <w:p w14:paraId="507514FD" w14:textId="77777777" w:rsidR="00E850EF" w:rsidRPr="000F53FD" w:rsidRDefault="00E850EF" w:rsidP="00E850EF">
      <w:pPr>
        <w:pStyle w:val="Prrafodelista"/>
        <w:jc w:val="both"/>
        <w:rPr>
          <w:rFonts w:ascii="Arial" w:hAnsi="Arial" w:cs="Arial"/>
          <w:sz w:val="22"/>
          <w:szCs w:val="22"/>
        </w:rPr>
      </w:pPr>
    </w:p>
    <w:p w14:paraId="36B3190F"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t xml:space="preserve">Respecto a la no prosperidad de la tutela cuando no aparece vulneración o amenaza del derecho fundamental, se ha dicho: </w:t>
      </w:r>
    </w:p>
    <w:p w14:paraId="0FD5248D" w14:textId="77777777" w:rsidR="00E850EF" w:rsidRPr="000F53FD" w:rsidRDefault="00E850EF" w:rsidP="00E850EF">
      <w:pPr>
        <w:pStyle w:val="Prrafodelista"/>
        <w:jc w:val="both"/>
        <w:rPr>
          <w:rFonts w:ascii="Arial" w:hAnsi="Arial" w:cs="Arial"/>
          <w:sz w:val="22"/>
          <w:szCs w:val="22"/>
        </w:rPr>
      </w:pPr>
    </w:p>
    <w:p w14:paraId="7EE7EF5D"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t>“</w:t>
      </w:r>
      <w:r w:rsidRPr="000F53FD">
        <w:rPr>
          <w:rFonts w:ascii="Arial" w:hAnsi="Arial" w:cs="Arial"/>
          <w:i/>
          <w:iCs/>
          <w:sz w:val="22"/>
          <w:szCs w:val="22"/>
        </w:rPr>
        <w:t>(…) para que la acción de tutela pueda prosperar, es indispensable que exista una amenaza o vulneración efectiva y plenamente demostrada de derechos fundamentales, ya que, si se concediera para fines distintos, el objetivo que tuvo en mente el Constituyente al consagrarla resultaría desvirtuado</w:t>
      </w:r>
      <w:r w:rsidRPr="000F53FD">
        <w:rPr>
          <w:rFonts w:ascii="Arial" w:hAnsi="Arial" w:cs="Arial"/>
          <w:sz w:val="22"/>
          <w:szCs w:val="22"/>
        </w:rPr>
        <w:t xml:space="preserve">." </w:t>
      </w:r>
    </w:p>
    <w:p w14:paraId="22D6C131" w14:textId="77777777" w:rsidR="00E850EF" w:rsidRPr="000F53FD" w:rsidRDefault="00E850EF" w:rsidP="00E850EF">
      <w:pPr>
        <w:pStyle w:val="Prrafodelista"/>
        <w:jc w:val="both"/>
        <w:rPr>
          <w:rFonts w:ascii="Arial" w:hAnsi="Arial" w:cs="Arial"/>
          <w:sz w:val="22"/>
          <w:szCs w:val="22"/>
        </w:rPr>
      </w:pPr>
    </w:p>
    <w:p w14:paraId="23BE38C3"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t>El amparo constitucional se consagró para reponer los derechos fundamentales infringidos o para impedir que se perfeccione su violación si se trata apenas de una amenaza, pero, de todas maneras, su presupuesto esencial, es la afectación -actual o potencial- de uno o varios de tales derechos, que son cabalmente los que la Carta Política quiso hacer efectivos, por lo cual la justificación de la tutela desaparece si tal supuesto falta.</w:t>
      </w:r>
    </w:p>
    <w:p w14:paraId="53946103" w14:textId="77777777" w:rsidR="00E850EF" w:rsidRPr="000F53FD" w:rsidRDefault="00E850EF" w:rsidP="00E850EF">
      <w:pPr>
        <w:pStyle w:val="Prrafodelista"/>
        <w:jc w:val="both"/>
        <w:rPr>
          <w:rFonts w:ascii="Arial" w:hAnsi="Arial" w:cs="Arial"/>
          <w:sz w:val="22"/>
          <w:szCs w:val="22"/>
        </w:rPr>
      </w:pPr>
    </w:p>
    <w:p w14:paraId="7E5A9790" w14:textId="77777777" w:rsidR="00E850EF" w:rsidRPr="000F53FD" w:rsidRDefault="00E850EF" w:rsidP="00E850EF">
      <w:pPr>
        <w:pStyle w:val="Prrafodelista"/>
        <w:numPr>
          <w:ilvl w:val="0"/>
          <w:numId w:val="8"/>
        </w:numPr>
        <w:jc w:val="both"/>
        <w:rPr>
          <w:rFonts w:ascii="Arial" w:hAnsi="Arial" w:cs="Arial"/>
          <w:sz w:val="22"/>
          <w:szCs w:val="22"/>
        </w:rPr>
      </w:pPr>
      <w:r w:rsidRPr="000F53FD">
        <w:rPr>
          <w:rFonts w:ascii="Arial" w:hAnsi="Arial" w:cs="Arial"/>
          <w:b/>
          <w:bCs/>
          <w:sz w:val="22"/>
          <w:szCs w:val="22"/>
        </w:rPr>
        <w:t>Improcedencia de la acción de tutela por inexistencia de violación a derecho fundamental alguno del accionante</w:t>
      </w:r>
      <w:r w:rsidRPr="000F53FD">
        <w:rPr>
          <w:rFonts w:ascii="Arial" w:hAnsi="Arial" w:cs="Arial"/>
          <w:sz w:val="22"/>
          <w:szCs w:val="22"/>
        </w:rPr>
        <w:t>:</w:t>
      </w:r>
    </w:p>
    <w:p w14:paraId="74756998"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lastRenderedPageBreak/>
        <w:br/>
        <w:t>Establece el artículo 86 de la Constitución Política que “</w:t>
      </w:r>
      <w:r w:rsidRPr="000F53FD">
        <w:rPr>
          <w:rFonts w:ascii="Arial" w:hAnsi="Arial" w:cs="Arial"/>
          <w:i/>
          <w:iCs/>
          <w:sz w:val="22"/>
          <w:szCs w:val="22"/>
        </w:rPr>
        <w:t>toda persona tendrá acción de tutela para reclamar de los jueces, en todo momento y lugar, mediante un procedimiento preferente y sumario, por sí misma o por quien actúe en su nombre, la protección inmediata de sus derechos constitucionales fundamentales, cuando quiera que éstos resulten vulnerados o amenazados (…)</w:t>
      </w:r>
      <w:r w:rsidRPr="000F53FD">
        <w:rPr>
          <w:rFonts w:ascii="Arial" w:hAnsi="Arial" w:cs="Arial"/>
          <w:sz w:val="22"/>
          <w:szCs w:val="22"/>
        </w:rPr>
        <w:t>”.</w:t>
      </w:r>
    </w:p>
    <w:p w14:paraId="5760D6D7"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br/>
        <w:t>La definición atrás señalada, precisa como condición indispensable de procedencia de la acción de tutela que los derechos fundamentales resulten vulnerados y/o amenazados. Así, frente a la acción de tutela se requiere que la vulneración o amenaza sean situaciones objetivamente comprobables por el juez de tutela y permita deducir claramente la trasgresión o quebrantamiento del precepto constitucional.</w:t>
      </w:r>
    </w:p>
    <w:p w14:paraId="391EE23A"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br/>
        <w:t>Así las cosas, la Acción de Tutela prevista en el artículo 86 de nuestra Carta Fundamental, está establecida como un mecanismo procesal complementario, específico y directo cuyo objeto es la protección concreta e inmediata de derechos constitucionales fundamentales, en una determinada situación jurídica, cuando éstos sean violados o se presente amenaza de su violación.</w:t>
      </w:r>
    </w:p>
    <w:p w14:paraId="70D9A907" w14:textId="77777777" w:rsidR="00E850EF" w:rsidRPr="000F53FD" w:rsidRDefault="00E850EF" w:rsidP="00E850EF">
      <w:pPr>
        <w:pStyle w:val="Prrafodelista"/>
        <w:jc w:val="both"/>
        <w:rPr>
          <w:rFonts w:ascii="Arial" w:hAnsi="Arial" w:cs="Arial"/>
          <w:sz w:val="22"/>
          <w:szCs w:val="22"/>
        </w:rPr>
      </w:pPr>
      <w:r w:rsidRPr="000F53FD">
        <w:rPr>
          <w:rFonts w:ascii="Arial" w:hAnsi="Arial" w:cs="Arial"/>
          <w:sz w:val="22"/>
          <w:szCs w:val="22"/>
        </w:rPr>
        <w:br/>
        <w:t xml:space="preserve">Sobre el particular la honorable Corte Constitucional se ha pronunciado en reiteradas ocasiones indicando que: </w:t>
      </w:r>
    </w:p>
    <w:p w14:paraId="69366934" w14:textId="77777777" w:rsidR="00E850EF" w:rsidRPr="000F53FD" w:rsidRDefault="00E850EF" w:rsidP="00E850EF">
      <w:pPr>
        <w:pStyle w:val="Prrafodelista"/>
        <w:jc w:val="both"/>
        <w:rPr>
          <w:rFonts w:ascii="Arial" w:hAnsi="Arial" w:cs="Arial"/>
          <w:sz w:val="22"/>
          <w:szCs w:val="22"/>
        </w:rPr>
      </w:pPr>
    </w:p>
    <w:p w14:paraId="676ECCE0" w14:textId="77777777" w:rsidR="00E850EF" w:rsidRPr="000F53FD" w:rsidRDefault="00E850EF" w:rsidP="00E850EF">
      <w:pPr>
        <w:pStyle w:val="Prrafodelista"/>
        <w:jc w:val="both"/>
        <w:rPr>
          <w:rFonts w:ascii="Arial" w:hAnsi="Arial" w:cs="Arial"/>
          <w:i/>
          <w:iCs/>
          <w:sz w:val="22"/>
          <w:szCs w:val="22"/>
        </w:rPr>
      </w:pPr>
      <w:r w:rsidRPr="000F53FD">
        <w:rPr>
          <w:rFonts w:ascii="Arial" w:hAnsi="Arial" w:cs="Arial"/>
          <w:sz w:val="22"/>
          <w:szCs w:val="22"/>
        </w:rPr>
        <w:t>"</w:t>
      </w:r>
      <w:r w:rsidRPr="000F53FD">
        <w:rPr>
          <w:rFonts w:ascii="Arial" w:hAnsi="Arial" w:cs="Arial"/>
          <w:i/>
          <w:iCs/>
          <w:sz w:val="22"/>
          <w:szCs w:val="22"/>
        </w:rPr>
        <w:t>No cabe la tutela si no se conculca derecho fundamental alguno, ni se puede acudir a ella simplemente cuando se tiene una inconformidad o un malestar contra una autoridad pública o contra un particular. El objeto de la tutela consiste en la protección inmediata de los derechos constitucionales fundamentales de las personas cuando resulten amenazados o vulnerados por una acción u omisión de una autoridad pública o de un particular, en ésta última hipótesis en los casos y dentro de las condiciones contempladas en la ley -artículo 42 del Decreto 2591 de 1991.</w:t>
      </w:r>
    </w:p>
    <w:p w14:paraId="20B6972D" w14:textId="77777777" w:rsidR="00E850EF" w:rsidRPr="000F53FD" w:rsidRDefault="00E850EF" w:rsidP="00E850EF">
      <w:pPr>
        <w:pStyle w:val="Prrafodelista"/>
        <w:jc w:val="both"/>
        <w:rPr>
          <w:rFonts w:ascii="Arial" w:hAnsi="Arial" w:cs="Arial"/>
          <w:i/>
          <w:iCs/>
          <w:sz w:val="22"/>
          <w:szCs w:val="22"/>
        </w:rPr>
      </w:pPr>
      <w:r w:rsidRPr="000F53FD">
        <w:rPr>
          <w:rFonts w:ascii="Arial" w:hAnsi="Arial" w:cs="Arial"/>
          <w:i/>
          <w:iCs/>
          <w:sz w:val="22"/>
          <w:szCs w:val="22"/>
        </w:rPr>
        <w:br/>
        <w:t xml:space="preserve">De esa manera, para que sea pertinente instaurar una acción de tutela es necesario que por lo menos exista un motivo relacionado con los derechos fundamentales de las personas puestos en peligro o vulnerados de manera que la orden judicial sea medio adecuado para amparar al peticionario garantizándole el disfrute de aquellos. </w:t>
      </w:r>
      <w:r w:rsidRPr="000F53FD">
        <w:rPr>
          <w:rFonts w:ascii="Arial" w:hAnsi="Arial" w:cs="Arial"/>
          <w:i/>
          <w:iCs/>
          <w:sz w:val="22"/>
          <w:szCs w:val="22"/>
        </w:rPr>
        <w:br/>
        <w:t>Es decir, que es indispensable la proporcionalidad entre los hechos alegados por el accionante y la protección judicial que solicita. Así pues, no todo conflicto debe ser resuelto a través de la acción de tutela como único mecanismo de solución si la misma naturaleza de la relación de que se trata ofrece diversas opciones o posibilidades suficientes para determinar cómo poner fin a la controversia.</w:t>
      </w:r>
    </w:p>
    <w:p w14:paraId="17D25F1C" w14:textId="77777777" w:rsidR="00E850EF" w:rsidRPr="000F53FD" w:rsidRDefault="00E850EF" w:rsidP="00E850EF">
      <w:pPr>
        <w:pStyle w:val="Prrafodelista"/>
        <w:jc w:val="both"/>
        <w:rPr>
          <w:rFonts w:ascii="Arial" w:hAnsi="Arial" w:cs="Arial"/>
          <w:sz w:val="22"/>
          <w:szCs w:val="22"/>
        </w:rPr>
      </w:pPr>
      <w:r w:rsidRPr="000F53FD">
        <w:rPr>
          <w:rFonts w:ascii="Arial" w:hAnsi="Arial" w:cs="Arial"/>
          <w:i/>
          <w:iCs/>
          <w:sz w:val="22"/>
          <w:szCs w:val="22"/>
        </w:rPr>
        <w:br/>
        <w:t>Ha sido criterio de esta Corte, como así lo ha venido expresando en diversas providencias, que la judicialización de todo problema suscitado entre individuos o colectividades no conduce a nada distinto de la innecesaria congestión de los tribunales con el consiguiente bloqueo a las causas que en verdad requieren de la intervención del juez, lo cual además perjudica en grado sumo el normal funcionamiento de las instituciones en cuanto distrae sin objeto la atención y el esfuerzo de las autoridades judiciales</w:t>
      </w:r>
      <w:r w:rsidRPr="000F53FD">
        <w:rPr>
          <w:rFonts w:ascii="Arial" w:hAnsi="Arial" w:cs="Arial"/>
          <w:sz w:val="22"/>
          <w:szCs w:val="22"/>
        </w:rPr>
        <w:t>".</w:t>
      </w:r>
    </w:p>
    <w:p w14:paraId="7C976CC4" w14:textId="77777777" w:rsidR="00E850EF" w:rsidRPr="000F53FD" w:rsidRDefault="00E850EF" w:rsidP="00E850EF">
      <w:pPr>
        <w:pStyle w:val="Prrafodelista"/>
        <w:jc w:val="both"/>
        <w:rPr>
          <w:rFonts w:ascii="Arial" w:hAnsi="Arial" w:cs="Arial"/>
          <w:sz w:val="22"/>
          <w:szCs w:val="22"/>
          <w:lang w:val="es-CO"/>
        </w:rPr>
      </w:pPr>
    </w:p>
    <w:p w14:paraId="583492DD" w14:textId="77777777" w:rsidR="00E850EF" w:rsidRPr="000F53FD" w:rsidRDefault="00E850EF" w:rsidP="00E850EF">
      <w:pPr>
        <w:pStyle w:val="Prrafodelista"/>
        <w:jc w:val="both"/>
        <w:rPr>
          <w:rFonts w:ascii="Arial" w:hAnsi="Arial" w:cs="Arial"/>
          <w:sz w:val="22"/>
          <w:szCs w:val="22"/>
          <w:lang w:val="es-CO"/>
        </w:rPr>
      </w:pPr>
      <w:r w:rsidRPr="000F53FD">
        <w:rPr>
          <w:rFonts w:ascii="Arial" w:hAnsi="Arial" w:cs="Arial"/>
          <w:sz w:val="22"/>
          <w:szCs w:val="22"/>
          <w:lang w:val="es-CO"/>
        </w:rPr>
        <w:t xml:space="preserve">La orden en la acción de tutela busca que cese la amenaza o vulneración de los derechos fundamentales, por lo que su eficacia precisamente DEPENDE de la actualidad del HECHO VULNERADOR. De esta forma, si cesa la conducta que viola los derechos fundamentales, el juez no tiene un objeto sobre el cual pronunciarse, </w:t>
      </w:r>
      <w:r w:rsidRPr="000F53FD">
        <w:rPr>
          <w:rFonts w:ascii="Arial" w:hAnsi="Arial" w:cs="Arial"/>
          <w:b/>
          <w:bCs/>
          <w:sz w:val="22"/>
          <w:szCs w:val="22"/>
          <w:lang w:val="es-CO"/>
        </w:rPr>
        <w:t>en el caso bajo estudio no existe HECHO VULNERADOR ocasionado por EPS SURA</w:t>
      </w:r>
      <w:r w:rsidRPr="000F53FD">
        <w:rPr>
          <w:rFonts w:ascii="Arial" w:hAnsi="Arial" w:cs="Arial"/>
          <w:sz w:val="22"/>
          <w:szCs w:val="22"/>
          <w:lang w:val="es-CO"/>
        </w:rPr>
        <w:t xml:space="preserve"> por lo tanto solicitamos respetuosamente a su despacho el ser </w:t>
      </w:r>
      <w:r w:rsidRPr="000F53FD">
        <w:rPr>
          <w:rFonts w:ascii="Arial" w:hAnsi="Arial" w:cs="Arial"/>
          <w:b/>
          <w:bCs/>
          <w:sz w:val="22"/>
          <w:szCs w:val="22"/>
          <w:lang w:val="es-CO"/>
        </w:rPr>
        <w:t>DESVINCULADOS</w:t>
      </w:r>
      <w:r w:rsidRPr="000F53FD">
        <w:rPr>
          <w:rFonts w:ascii="Arial" w:hAnsi="Arial" w:cs="Arial"/>
          <w:sz w:val="22"/>
          <w:szCs w:val="22"/>
          <w:lang w:val="es-CO"/>
        </w:rPr>
        <w:t xml:space="preserve"> del presente trámite constitucional, conforme a la ley.</w:t>
      </w:r>
    </w:p>
    <w:p w14:paraId="73F30545" w14:textId="77777777" w:rsidR="00E850EF" w:rsidRPr="000F53FD" w:rsidRDefault="00E850EF" w:rsidP="00E850EF">
      <w:pPr>
        <w:pStyle w:val="Prrafodelista"/>
        <w:jc w:val="both"/>
        <w:rPr>
          <w:rFonts w:ascii="Arial" w:hAnsi="Arial" w:cs="Arial"/>
          <w:sz w:val="22"/>
          <w:szCs w:val="22"/>
          <w:lang w:val="es-CO"/>
        </w:rPr>
      </w:pPr>
    </w:p>
    <w:p w14:paraId="605558EA" w14:textId="77777777" w:rsidR="00E320F9" w:rsidRPr="00B95D8E" w:rsidRDefault="00E320F9" w:rsidP="00B20789">
      <w:pPr>
        <w:jc w:val="center"/>
        <w:rPr>
          <w:rFonts w:ascii="Arial" w:hAnsi="Arial" w:cs="Arial"/>
          <w:b/>
          <w:bCs/>
          <w:sz w:val="22"/>
          <w:szCs w:val="22"/>
        </w:rPr>
      </w:pPr>
      <w:r w:rsidRPr="00B95D8E">
        <w:rPr>
          <w:rFonts w:ascii="Arial" w:hAnsi="Arial" w:cs="Arial"/>
          <w:b/>
          <w:bCs/>
          <w:sz w:val="22"/>
          <w:szCs w:val="22"/>
        </w:rPr>
        <w:t>PETICIÓN</w:t>
      </w:r>
    </w:p>
    <w:p w14:paraId="66D81EA8" w14:textId="77777777" w:rsidR="00AD1C48" w:rsidRPr="00B95D8E" w:rsidRDefault="00AD1C48" w:rsidP="00B20789">
      <w:pPr>
        <w:rPr>
          <w:rFonts w:ascii="Arial" w:hAnsi="Arial" w:cs="Arial"/>
          <w:sz w:val="22"/>
          <w:szCs w:val="22"/>
          <w:lang w:val="es-ES" w:eastAsia="es-ES"/>
        </w:rPr>
      </w:pPr>
    </w:p>
    <w:p w14:paraId="0C1CF32B" w14:textId="77777777" w:rsidR="00D315EE" w:rsidRPr="00B95D8E" w:rsidRDefault="00E320F9" w:rsidP="00B20789">
      <w:pPr>
        <w:pStyle w:val="Sangradetindependiente"/>
        <w:autoSpaceDE/>
        <w:adjustRightInd/>
        <w:rPr>
          <w:rFonts w:cs="Arial"/>
          <w:b/>
          <w:sz w:val="22"/>
          <w:szCs w:val="22"/>
        </w:rPr>
      </w:pPr>
      <w:r w:rsidRPr="00B95D8E">
        <w:rPr>
          <w:rFonts w:cs="Arial"/>
          <w:sz w:val="22"/>
          <w:szCs w:val="22"/>
        </w:rPr>
        <w:t xml:space="preserve">Conforme a la respuesta dada a los hechos, las pruebas adjuntas y el fundamento jurídico y jurisprudencial, solicito de manera respetuosa Señor Juez, </w:t>
      </w:r>
      <w:r w:rsidRPr="00B95D8E">
        <w:rPr>
          <w:rFonts w:cs="Arial"/>
          <w:b/>
          <w:sz w:val="22"/>
          <w:szCs w:val="22"/>
        </w:rPr>
        <w:t>NEGAR</w:t>
      </w:r>
      <w:r w:rsidRPr="00B95D8E">
        <w:rPr>
          <w:rFonts w:cs="Arial"/>
          <w:sz w:val="22"/>
          <w:szCs w:val="22"/>
        </w:rPr>
        <w:t xml:space="preserve"> el amparo constitucional solicitado por la parte accionante y, en consecuencia, declarar la </w:t>
      </w:r>
      <w:r w:rsidRPr="00B95D8E">
        <w:rPr>
          <w:rFonts w:cs="Arial"/>
          <w:b/>
          <w:sz w:val="22"/>
          <w:szCs w:val="22"/>
        </w:rPr>
        <w:t>IMPROCEDENCIA</w:t>
      </w:r>
      <w:r w:rsidRPr="00B95D8E">
        <w:rPr>
          <w:rFonts w:cs="Arial"/>
          <w:sz w:val="22"/>
          <w:szCs w:val="22"/>
        </w:rPr>
        <w:t xml:space="preserve"> de esta acción de tutela por no vulneración de un d</w:t>
      </w:r>
      <w:r w:rsidR="00D315EE" w:rsidRPr="00B95D8E">
        <w:rPr>
          <w:rFonts w:cs="Arial"/>
          <w:sz w:val="22"/>
          <w:szCs w:val="22"/>
        </w:rPr>
        <w:t>erecho fundamental por parte de</w:t>
      </w:r>
      <w:r w:rsidR="00FF667B" w:rsidRPr="00B95D8E">
        <w:rPr>
          <w:rFonts w:cs="Arial"/>
          <w:b/>
          <w:sz w:val="22"/>
          <w:szCs w:val="22"/>
        </w:rPr>
        <w:t xml:space="preserve"> </w:t>
      </w:r>
      <w:r w:rsidR="00C129FC" w:rsidRPr="00B95D8E">
        <w:rPr>
          <w:rFonts w:cs="Arial"/>
          <w:b/>
          <w:sz w:val="22"/>
          <w:szCs w:val="22"/>
        </w:rPr>
        <w:t>EPS SURAMERICANA S.A.</w:t>
      </w:r>
    </w:p>
    <w:p w14:paraId="77E6E9C7" w14:textId="77777777" w:rsidR="00AD1C48" w:rsidRPr="00B95D8E" w:rsidRDefault="00AD1C48" w:rsidP="00B20789">
      <w:pPr>
        <w:pStyle w:val="Textoindependiente"/>
        <w:jc w:val="both"/>
        <w:rPr>
          <w:rFonts w:cs="Arial"/>
          <w:sz w:val="22"/>
          <w:szCs w:val="22"/>
        </w:rPr>
      </w:pPr>
    </w:p>
    <w:p w14:paraId="70A364FC" w14:textId="77777777" w:rsidR="00E320F9" w:rsidRPr="00B95D8E" w:rsidRDefault="00E320F9" w:rsidP="00B20789">
      <w:pPr>
        <w:jc w:val="center"/>
        <w:rPr>
          <w:rFonts w:ascii="Arial" w:hAnsi="Arial" w:cs="Arial"/>
          <w:b/>
          <w:bCs/>
          <w:sz w:val="22"/>
          <w:szCs w:val="22"/>
        </w:rPr>
      </w:pPr>
      <w:r w:rsidRPr="00B95D8E">
        <w:rPr>
          <w:rFonts w:ascii="Arial" w:hAnsi="Arial" w:cs="Arial"/>
          <w:b/>
          <w:bCs/>
          <w:sz w:val="22"/>
          <w:szCs w:val="22"/>
        </w:rPr>
        <w:t>PRUEBAS Y ANEXOS</w:t>
      </w:r>
    </w:p>
    <w:p w14:paraId="3236F7AC" w14:textId="77777777" w:rsidR="00AD1C48" w:rsidRPr="00B95D8E" w:rsidRDefault="00AD1C48" w:rsidP="00B20789">
      <w:pPr>
        <w:pStyle w:val="Textoindependiente"/>
        <w:ind w:left="720"/>
        <w:jc w:val="both"/>
        <w:rPr>
          <w:rFonts w:cs="Arial"/>
          <w:sz w:val="22"/>
          <w:szCs w:val="22"/>
        </w:rPr>
      </w:pPr>
    </w:p>
    <w:p w14:paraId="109E3D76" w14:textId="77777777" w:rsidR="00E850EF" w:rsidRPr="000F53FD" w:rsidRDefault="00E850EF" w:rsidP="00E850EF">
      <w:pPr>
        <w:pStyle w:val="Textoindependiente"/>
        <w:numPr>
          <w:ilvl w:val="0"/>
          <w:numId w:val="7"/>
        </w:numPr>
        <w:jc w:val="both"/>
        <w:rPr>
          <w:rFonts w:cs="Arial"/>
          <w:bCs/>
          <w:color w:val="FF0000"/>
          <w:sz w:val="22"/>
          <w:szCs w:val="22"/>
        </w:rPr>
      </w:pPr>
      <w:bookmarkStart w:id="0" w:name="_Hlk88744368"/>
      <w:r w:rsidRPr="000F53FD">
        <w:rPr>
          <w:rFonts w:cs="Arial"/>
          <w:sz w:val="22"/>
          <w:szCs w:val="22"/>
        </w:rPr>
        <w:t xml:space="preserve">Certificado de existencia y representación legal de </w:t>
      </w:r>
      <w:r w:rsidRPr="000F53FD">
        <w:rPr>
          <w:rFonts w:cs="Arial"/>
          <w:bCs/>
          <w:sz w:val="22"/>
          <w:szCs w:val="22"/>
        </w:rPr>
        <w:t>EPS SURAMERICANA S.A., el cual puede descargar en el siguiente enlace:</w:t>
      </w:r>
    </w:p>
    <w:p w14:paraId="21A8887F" w14:textId="77777777" w:rsidR="00E850EF" w:rsidRPr="000F53FD" w:rsidRDefault="00E850EF" w:rsidP="00E850EF">
      <w:pPr>
        <w:pStyle w:val="Textoindependiente"/>
        <w:ind w:left="720"/>
        <w:jc w:val="both"/>
        <w:rPr>
          <w:rFonts w:cs="Arial"/>
          <w:bCs/>
          <w:color w:val="FF0000"/>
          <w:sz w:val="22"/>
          <w:szCs w:val="22"/>
        </w:rPr>
      </w:pPr>
      <w:hyperlink r:id="rId15" w:history="1">
        <w:r w:rsidRPr="000F53FD">
          <w:rPr>
            <w:rStyle w:val="Hipervnculo"/>
            <w:rFonts w:cs="Arial"/>
            <w:bCs/>
            <w:sz w:val="22"/>
            <w:szCs w:val="22"/>
          </w:rPr>
          <w:t>https://www.segurossura.com.co/paginas/legal/certificados-existencia-y-representacion-compania.aspx</w:t>
        </w:r>
      </w:hyperlink>
    </w:p>
    <w:p w14:paraId="5989458E" w14:textId="77777777" w:rsidR="00E850EF" w:rsidRPr="000F53FD" w:rsidRDefault="00E850EF" w:rsidP="00E850EF">
      <w:pPr>
        <w:pStyle w:val="Textoindependiente"/>
        <w:numPr>
          <w:ilvl w:val="0"/>
          <w:numId w:val="7"/>
        </w:numPr>
        <w:jc w:val="both"/>
        <w:rPr>
          <w:rFonts w:cs="Arial"/>
          <w:sz w:val="22"/>
          <w:szCs w:val="22"/>
        </w:rPr>
      </w:pPr>
      <w:r w:rsidRPr="000F53FD">
        <w:rPr>
          <w:rFonts w:cs="Arial"/>
          <w:sz w:val="22"/>
          <w:szCs w:val="22"/>
        </w:rPr>
        <w:t>Información del sistema de Afiliaciones de EPS SURAMERICANA S.A.</w:t>
      </w:r>
    </w:p>
    <w:p w14:paraId="023E3520" w14:textId="77777777" w:rsidR="00E850EF" w:rsidRDefault="00E850EF" w:rsidP="00E850EF">
      <w:pPr>
        <w:pStyle w:val="Prrafodelista"/>
        <w:numPr>
          <w:ilvl w:val="0"/>
          <w:numId w:val="7"/>
        </w:numPr>
        <w:jc w:val="both"/>
        <w:rPr>
          <w:rFonts w:ascii="Arial" w:hAnsi="Arial" w:cs="Arial"/>
          <w:bCs/>
          <w:sz w:val="22"/>
          <w:szCs w:val="22"/>
        </w:rPr>
      </w:pPr>
      <w:bookmarkStart w:id="1" w:name="_Hlk88744522"/>
      <w:r w:rsidRPr="000F53FD">
        <w:rPr>
          <w:rFonts w:ascii="Arial" w:hAnsi="Arial" w:cs="Arial"/>
          <w:sz w:val="22"/>
          <w:szCs w:val="22"/>
        </w:rPr>
        <w:t xml:space="preserve">Memorial informativo estructura </w:t>
      </w:r>
      <w:bookmarkEnd w:id="1"/>
      <w:r w:rsidRPr="000F53FD">
        <w:rPr>
          <w:rFonts w:ascii="Arial" w:hAnsi="Arial" w:cs="Arial"/>
          <w:bCs/>
          <w:sz w:val="22"/>
          <w:szCs w:val="22"/>
        </w:rPr>
        <w:t>EPS SURAMERICANA S.A.</w:t>
      </w:r>
    </w:p>
    <w:p w14:paraId="6FE987EE" w14:textId="4F157F26" w:rsidR="00E850EF" w:rsidRDefault="00E850EF" w:rsidP="00E850EF">
      <w:pPr>
        <w:pStyle w:val="Prrafodelista"/>
        <w:numPr>
          <w:ilvl w:val="0"/>
          <w:numId w:val="7"/>
        </w:numPr>
        <w:jc w:val="both"/>
        <w:rPr>
          <w:rFonts w:ascii="Arial" w:hAnsi="Arial" w:cs="Arial"/>
          <w:bCs/>
          <w:sz w:val="22"/>
          <w:szCs w:val="22"/>
        </w:rPr>
      </w:pPr>
      <w:r w:rsidRPr="00E850EF">
        <w:rPr>
          <w:rFonts w:ascii="Arial" w:hAnsi="Arial" w:cs="Arial"/>
          <w:bCs/>
          <w:sz w:val="22"/>
          <w:szCs w:val="22"/>
        </w:rPr>
        <w:t>Sentencia del 19 de abril de 2022, del proceso con radicado 680014009003-2022-031-00, proferida por el JUZGADO TERCERO PENAL MUNICIPAL CON FUNCIONES DE CONOCIMIENTO DE BUCARAMANGA</w:t>
      </w:r>
      <w:r>
        <w:rPr>
          <w:rFonts w:ascii="Arial" w:hAnsi="Arial" w:cs="Arial"/>
          <w:bCs/>
          <w:sz w:val="22"/>
          <w:szCs w:val="22"/>
        </w:rPr>
        <w:t>.</w:t>
      </w:r>
    </w:p>
    <w:p w14:paraId="688C8898" w14:textId="6B0771D3" w:rsidR="00E850EF" w:rsidRDefault="00E850EF" w:rsidP="00E850EF">
      <w:pPr>
        <w:pStyle w:val="Prrafodelista"/>
        <w:numPr>
          <w:ilvl w:val="0"/>
          <w:numId w:val="7"/>
        </w:numPr>
        <w:jc w:val="both"/>
        <w:rPr>
          <w:rFonts w:ascii="Arial" w:hAnsi="Arial" w:cs="Arial"/>
          <w:bCs/>
          <w:sz w:val="22"/>
          <w:szCs w:val="22"/>
        </w:rPr>
      </w:pPr>
      <w:r>
        <w:rPr>
          <w:rFonts w:ascii="Arial" w:hAnsi="Arial" w:cs="Arial"/>
          <w:bCs/>
          <w:sz w:val="22"/>
          <w:szCs w:val="22"/>
        </w:rPr>
        <w:t>Historial de utilizaciones.</w:t>
      </w:r>
    </w:p>
    <w:p w14:paraId="6B6A385C" w14:textId="66AFFBA5" w:rsidR="00E850EF" w:rsidRDefault="00E850EF" w:rsidP="00E850EF">
      <w:pPr>
        <w:pStyle w:val="Prrafodelista"/>
        <w:numPr>
          <w:ilvl w:val="0"/>
          <w:numId w:val="7"/>
        </w:numPr>
        <w:jc w:val="both"/>
        <w:rPr>
          <w:rFonts w:ascii="Arial" w:hAnsi="Arial" w:cs="Arial"/>
          <w:bCs/>
          <w:sz w:val="22"/>
          <w:szCs w:val="22"/>
        </w:rPr>
      </w:pPr>
      <w:r>
        <w:rPr>
          <w:rFonts w:ascii="Arial" w:hAnsi="Arial" w:cs="Arial"/>
          <w:bCs/>
          <w:sz w:val="22"/>
          <w:szCs w:val="22"/>
        </w:rPr>
        <w:t xml:space="preserve">Historial de autorizaciones del medicamento fdsfdsfdsfdsf.</w:t>
      </w:r>
      <w:r w:rsidRPr="00E850EF">
        <w:rPr>
          <w:rFonts w:ascii="Arial" w:hAnsi="Arial" w:cs="Arial"/>
          <w:bCs/>
          <w:sz w:val="22"/>
          <w:szCs w:val="22"/>
        </w:rPr>
      </w:r>
      <w:r>
        <w:rPr>
          <w:rFonts w:ascii="Arial" w:hAnsi="Arial" w:cs="Arial"/>
          <w:bCs/>
          <w:sz w:val="22"/>
          <w:szCs w:val="22"/>
        </w:rPr>
      </w:r>
    </w:p>
    <w:p w14:paraId="623D095B" w14:textId="1E7D557E" w:rsidR="00E850EF" w:rsidRDefault="00E850EF" w:rsidP="00E850EF">
      <w:pPr>
        <w:pStyle w:val="Prrafodelista"/>
        <w:numPr>
          <w:ilvl w:val="0"/>
          <w:numId w:val="7"/>
        </w:numPr>
        <w:jc w:val="both"/>
        <w:rPr>
          <w:rFonts w:ascii="Arial" w:hAnsi="Arial" w:cs="Arial"/>
          <w:bCs/>
          <w:sz w:val="22"/>
          <w:szCs w:val="22"/>
        </w:rPr>
      </w:pPr>
      <w:r>
        <w:rPr>
          <w:rFonts w:ascii="Arial" w:hAnsi="Arial" w:cs="Arial"/>
          <w:bCs/>
          <w:sz w:val="22"/>
          <w:szCs w:val="22"/>
        </w:rPr>
        <w:t>Gestión para ingreso a programa de Enfermedades Huérfanas.</w:t>
      </w:r>
    </w:p>
    <w:p w14:paraId="11B6AF6D" w14:textId="58C0896A" w:rsidR="00E850EF" w:rsidRDefault="00E850EF" w:rsidP="00E850EF">
      <w:pPr>
        <w:pStyle w:val="Prrafodelista"/>
        <w:numPr>
          <w:ilvl w:val="0"/>
          <w:numId w:val="7"/>
        </w:numPr>
        <w:jc w:val="both"/>
        <w:rPr>
          <w:rFonts w:ascii="Arial" w:hAnsi="Arial" w:cs="Arial"/>
          <w:bCs/>
          <w:sz w:val="22"/>
          <w:szCs w:val="22"/>
        </w:rPr>
      </w:pPr>
      <w:r>
        <w:rPr>
          <w:rFonts w:ascii="Arial" w:hAnsi="Arial" w:cs="Arial"/>
          <w:bCs/>
          <w:sz w:val="22"/>
          <w:szCs w:val="22"/>
        </w:rPr>
        <w:t>Autorización de medicamento.</w:t>
      </w:r>
    </w:p>
    <w:p w14:paraId="0B432AFE" w14:textId="4743BAF6" w:rsidR="00E850EF" w:rsidRPr="000F53FD" w:rsidRDefault="00E850EF" w:rsidP="00E850EF">
      <w:pPr>
        <w:pStyle w:val="Prrafodelista"/>
        <w:numPr>
          <w:ilvl w:val="0"/>
          <w:numId w:val="7"/>
        </w:numPr>
        <w:jc w:val="both"/>
        <w:rPr>
          <w:rFonts w:ascii="Arial" w:hAnsi="Arial" w:cs="Arial"/>
          <w:bCs/>
          <w:sz w:val="22"/>
          <w:szCs w:val="22"/>
        </w:rPr>
      </w:pPr>
      <w:r>
        <w:rPr>
          <w:rFonts w:ascii="Arial" w:hAnsi="Arial" w:cs="Arial"/>
          <w:bCs/>
          <w:sz w:val="22"/>
          <w:szCs w:val="22"/>
        </w:rPr>
        <w:t xml:space="preserve">Correo enviado a dfdsfdsf</w:t>
      </w:r>
      <w:r w:rsidRPr="00E850EF">
        <w:rPr>
          <w:rFonts w:ascii="Arial" w:hAnsi="Arial" w:cs="Arial"/>
          <w:bCs/>
          <w:sz w:val="22"/>
          <w:szCs w:val="22"/>
        </w:rPr>
      </w:r>
    </w:p>
    <w:bookmarkEnd w:id="0"/>
    <w:p w14:paraId="6F65F7B5" w14:textId="77777777" w:rsidR="00E320F9" w:rsidRPr="00B95D8E" w:rsidRDefault="00E320F9" w:rsidP="00B20789">
      <w:pPr>
        <w:jc w:val="both"/>
        <w:rPr>
          <w:rFonts w:ascii="Arial" w:hAnsi="Arial" w:cs="Arial"/>
          <w:bCs/>
          <w:sz w:val="22"/>
          <w:szCs w:val="22"/>
        </w:rPr>
      </w:pPr>
    </w:p>
    <w:p w14:paraId="35DCDDBB" w14:textId="77777777" w:rsidR="00E320F9" w:rsidRPr="00B95D8E" w:rsidRDefault="00E320F9" w:rsidP="00B20789">
      <w:pPr>
        <w:jc w:val="center"/>
        <w:rPr>
          <w:rFonts w:ascii="Arial" w:hAnsi="Arial" w:cs="Arial"/>
          <w:b/>
          <w:bCs/>
          <w:sz w:val="22"/>
          <w:szCs w:val="22"/>
        </w:rPr>
      </w:pPr>
      <w:r w:rsidRPr="00B95D8E">
        <w:rPr>
          <w:rFonts w:ascii="Arial" w:hAnsi="Arial" w:cs="Arial"/>
          <w:b/>
          <w:bCs/>
          <w:sz w:val="22"/>
          <w:szCs w:val="22"/>
        </w:rPr>
        <w:t>NOTIFICACIONES</w:t>
      </w:r>
    </w:p>
    <w:p w14:paraId="43DBA631" w14:textId="77777777" w:rsidR="00AD1C48" w:rsidRPr="00B95D8E" w:rsidRDefault="00AD1C48" w:rsidP="00B20789">
      <w:pPr>
        <w:jc w:val="both"/>
        <w:rPr>
          <w:rFonts w:ascii="Arial" w:hAnsi="Arial" w:cs="Arial"/>
          <w:bCs/>
          <w:sz w:val="22"/>
          <w:szCs w:val="22"/>
        </w:rPr>
      </w:pPr>
    </w:p>
    <w:p w14:paraId="5C838209" w14:textId="77777777" w:rsidR="00AD1C48" w:rsidRPr="00B95D8E" w:rsidRDefault="00E320F9" w:rsidP="00B20789">
      <w:pPr>
        <w:jc w:val="both"/>
        <w:rPr>
          <w:rFonts w:ascii="Arial" w:eastAsia="Times New Roman" w:hAnsi="Arial" w:cs="Arial"/>
          <w:sz w:val="22"/>
          <w:szCs w:val="22"/>
        </w:rPr>
      </w:pPr>
      <w:r w:rsidRPr="00B95D8E">
        <w:rPr>
          <w:rFonts w:ascii="Arial" w:hAnsi="Arial" w:cs="Arial"/>
          <w:bCs/>
          <w:sz w:val="22"/>
          <w:szCs w:val="22"/>
        </w:rPr>
        <w:t xml:space="preserve">Las recibiré </w:t>
      </w:r>
      <w:r w:rsidR="00AD1C48" w:rsidRPr="00B95D8E">
        <w:rPr>
          <w:rFonts w:ascii="Arial" w:hAnsi="Arial" w:cs="Arial"/>
          <w:sz w:val="22"/>
          <w:szCs w:val="22"/>
        </w:rPr>
        <w:t>en el c</w:t>
      </w:r>
      <w:r w:rsidRPr="00B95D8E">
        <w:rPr>
          <w:rFonts w:ascii="Arial" w:hAnsi="Arial" w:cs="Arial"/>
          <w:bCs/>
          <w:sz w:val="22"/>
          <w:szCs w:val="22"/>
        </w:rPr>
        <w:t xml:space="preserve">orreo electrónico: </w:t>
      </w:r>
      <w:hyperlink r:id="rId16" w:history="1">
        <w:r w:rsidR="00AD1C48" w:rsidRPr="00B95D8E">
          <w:rPr>
            <w:rFonts w:ascii="Arial" w:eastAsia="Times New Roman" w:hAnsi="Arial" w:cs="Arial"/>
            <w:sz w:val="22"/>
            <w:szCs w:val="22"/>
          </w:rPr>
          <w:t>notificacionesjudiciales@suramericana.com.co</w:t>
        </w:r>
      </w:hyperlink>
    </w:p>
    <w:p w14:paraId="3C20841D" w14:textId="77777777" w:rsidR="00E320F9" w:rsidRPr="00B95D8E" w:rsidRDefault="00E320F9" w:rsidP="00B20789">
      <w:pPr>
        <w:jc w:val="both"/>
        <w:rPr>
          <w:rFonts w:ascii="Arial" w:hAnsi="Arial" w:cs="Arial"/>
          <w:bCs/>
          <w:sz w:val="22"/>
          <w:szCs w:val="22"/>
        </w:rPr>
      </w:pPr>
    </w:p>
    <w:p w14:paraId="0AA56B66" w14:textId="77777777" w:rsidR="008B4659" w:rsidRPr="00B95D8E" w:rsidRDefault="00E320F9" w:rsidP="00B20789">
      <w:pPr>
        <w:pStyle w:val="Textoindependiente"/>
        <w:jc w:val="both"/>
        <w:rPr>
          <w:rFonts w:cs="Arial"/>
          <w:sz w:val="22"/>
          <w:szCs w:val="22"/>
        </w:rPr>
      </w:pPr>
      <w:r w:rsidRPr="00B95D8E">
        <w:rPr>
          <w:rFonts w:cs="Arial"/>
          <w:sz w:val="22"/>
          <w:szCs w:val="22"/>
        </w:rPr>
        <w:t>Del señor Juez,</w:t>
      </w:r>
    </w:p>
    <w:p w14:paraId="24A2970B" w14:textId="46E7E0CB" w:rsidR="008B4659" w:rsidRPr="00B95D8E" w:rsidRDefault="00B45AB0" w:rsidP="00B20789">
      <w:pPr>
        <w:pStyle w:val="Textoindependiente"/>
        <w:jc w:val="both"/>
        <w:rPr>
          <w:rFonts w:cs="Arial"/>
          <w:noProof/>
          <w:sz w:val="22"/>
          <w:szCs w:val="22"/>
          <w:lang w:eastAsia="es-CO"/>
        </w:rPr>
      </w:pPr>
      <w:r w:rsidRPr="00B95D8E">
        <w:rPr>
          <w:rFonts w:cs="Arial"/>
          <w:noProof/>
          <w:sz w:val="22"/>
          <w:szCs w:val="22"/>
        </w:rPr>
        <w:drawing>
          <wp:inline distT="0" distB="0" distL="0" distR="0" wp14:anchorId="11F8B224" wp14:editId="0CD6D630">
            <wp:extent cx="2097024" cy="987552"/>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7"/>
                    <a:stretch>
                      <a:fillRect/>
                    </a:stretch>
                  </pic:blipFill>
                  <pic:spPr>
                    <a:xfrm>
                      <a:off x="0" y="0"/>
                      <a:ext cx="2097024" cy="987552"/>
                    </a:xfrm>
                    <a:prstGeom prst="rect">
                      <a:avLst/>
                    </a:prstGeom>
                  </pic:spPr>
                </pic:pic>
              </a:graphicData>
            </a:graphic>
          </wp:inline>
        </w:drawing>
      </w:r>
    </w:p>
    <w:p w14:paraId="0C89512C" w14:textId="102F989E" w:rsidR="00E320F9" w:rsidRPr="00B95D8E" w:rsidRDefault="00661A11" w:rsidP="00B20789">
      <w:pPr>
        <w:pStyle w:val="Textoindependiente"/>
        <w:jc w:val="both"/>
        <w:rPr>
          <w:rFonts w:cs="Arial"/>
          <w:bCs/>
          <w:noProof/>
          <w:sz w:val="22"/>
          <w:szCs w:val="22"/>
          <w:lang w:eastAsia="es-CO"/>
        </w:rPr>
      </w:pPr>
      <w:r w:rsidRPr="00B95D8E">
        <w:rPr>
          <w:rFonts w:cs="Arial"/>
          <w:bCs/>
          <w:noProof/>
          <w:sz w:val="22"/>
          <w:szCs w:val="22"/>
          <w:lang w:eastAsia="es-CO"/>
        </w:rPr>
        <w:t xml:space="preserve">MARIA ISABEL VARGAS RESTREPO CC 43.876.543 </w:t>
      </w:r>
      <w:r w:rsidR="00B95D8E">
        <w:rPr>
          <w:rFonts w:cs="Arial"/>
          <w:bCs/>
          <w:noProof/>
          <w:sz w:val="22"/>
          <w:szCs w:val="22"/>
          <w:lang w:eastAsia="es-CO"/>
        </w:rPr>
      </w:r>
      <w:r w:rsidRPr="00B95D8E">
        <w:rPr>
          <w:rFonts w:cs="Arial"/>
          <w:bCs/>
          <w:noProof/>
          <w:sz w:val="22"/>
          <w:szCs w:val="22"/>
          <w:lang w:eastAsia="es-CO"/>
        </w:rPr>
      </w:r>
    </w:p>
    <w:p w14:paraId="0AFBC61A" w14:textId="77777777" w:rsidR="00E320F9" w:rsidRDefault="00B12172" w:rsidP="00B20789">
      <w:pPr>
        <w:pStyle w:val="Textoindependiente"/>
        <w:jc w:val="both"/>
        <w:rPr>
          <w:rFonts w:cs="Arial"/>
          <w:bCs/>
          <w:noProof/>
          <w:sz w:val="22"/>
          <w:szCs w:val="22"/>
          <w:lang w:eastAsia="es-CO"/>
        </w:rPr>
      </w:pPr>
      <w:r w:rsidRPr="00B95D8E">
        <w:rPr>
          <w:rFonts w:cs="Arial"/>
          <w:bCs/>
          <w:noProof/>
          <w:sz w:val="22"/>
          <w:szCs w:val="22"/>
          <w:lang w:eastAsia="es-CO"/>
        </w:rPr>
        <w:t>Representante Legal</w:t>
      </w:r>
      <w:r w:rsidR="00EC74E0" w:rsidRPr="00B95D8E">
        <w:rPr>
          <w:rFonts w:cs="Arial"/>
          <w:bCs/>
          <w:noProof/>
          <w:sz w:val="22"/>
          <w:szCs w:val="22"/>
          <w:lang w:eastAsia="es-CO"/>
        </w:rPr>
        <w:t xml:space="preserve"> </w:t>
      </w:r>
      <w:r w:rsidR="00E320F9" w:rsidRPr="00B95D8E">
        <w:rPr>
          <w:rFonts w:cs="Arial"/>
          <w:bCs/>
          <w:noProof/>
          <w:sz w:val="22"/>
          <w:szCs w:val="22"/>
          <w:lang w:eastAsia="es-CO"/>
        </w:rPr>
        <w:t xml:space="preserve">de </w:t>
      </w:r>
      <w:r w:rsidR="001106AA" w:rsidRPr="00B95D8E">
        <w:rPr>
          <w:rFonts w:cs="Arial"/>
          <w:bCs/>
          <w:noProof/>
          <w:sz w:val="22"/>
          <w:szCs w:val="22"/>
          <w:lang w:eastAsia="es-CO"/>
        </w:rPr>
        <w:t>EPS SURAMERICANA S.A.</w:t>
      </w:r>
    </w:p>
    <w:p w14:paraId="6209C2DA" w14:textId="6AC233D4" w:rsidR="00E850EF" w:rsidRPr="00B95D8E" w:rsidRDefault="00E850EF" w:rsidP="00B20789">
      <w:pPr>
        <w:pStyle w:val="Textoindependiente"/>
        <w:jc w:val="both"/>
        <w:rPr>
          <w:rFonts w:cs="Arial"/>
          <w:bCs/>
          <w:noProof/>
          <w:sz w:val="22"/>
          <w:szCs w:val="22"/>
          <w:lang w:eastAsia="es-CO"/>
        </w:rPr>
      </w:pPr>
      <w:r w:rsidRPr="00E850EF">
        <w:rPr>
          <w:rFonts w:cs="Arial"/>
          <w:bCs/>
          <w:noProof/>
          <w:sz w:val="22"/>
          <w:szCs w:val="22"/>
          <w:lang w:val="es-ES_tradnl" w:eastAsia="es-CO"/>
        </w:rPr>
        <w:t>Elaboró, revisó y aprobó: Danna Paola Malambo Obregón.</w:t>
      </w:r>
    </w:p>
    <w:p w14:paraId="77EB8100" w14:textId="77777777" w:rsidR="00F93074" w:rsidRPr="00B95D8E" w:rsidRDefault="00AD1C48" w:rsidP="000600F8">
      <w:pPr>
        <w:rPr>
          <w:rFonts w:ascii="Arial" w:eastAsia="Times New Roman" w:hAnsi="Arial" w:cs="Arial"/>
          <w:b/>
          <w:noProof/>
          <w:kern w:val="16"/>
          <w:sz w:val="22"/>
          <w:szCs w:val="22"/>
          <w:lang w:val="es-CO" w:eastAsia="es-CO"/>
        </w:rPr>
      </w:pPr>
      <w:r w:rsidRPr="00B95D8E">
        <w:rPr>
          <w:rFonts w:ascii="Arial" w:hAnsi="Arial" w:cs="Arial"/>
          <w:b/>
          <w:noProof/>
          <w:sz w:val="22"/>
          <w:szCs w:val="22"/>
          <w:lang w:eastAsia="es-CO"/>
        </w:rPr>
        <w:br w:type="page"/>
      </w:r>
    </w:p>
    <w:p w14:paraId="20C0C7A0" w14:textId="77777777" w:rsidR="000770E1" w:rsidRPr="00B95D8E" w:rsidRDefault="00392B3C" w:rsidP="000770E1">
      <w:pPr>
        <w:jc w:val="both"/>
        <w:rPr>
          <w:rFonts w:ascii="Arial" w:eastAsia="Times New Roman" w:hAnsi="Arial" w:cs="Arial"/>
          <w:bCs/>
          <w:sz w:val="22"/>
          <w:szCs w:val="22"/>
          <w:lang w:val="es-ES" w:eastAsia="es-ES"/>
        </w:rPr>
      </w:pPr>
      <w:bookmarkStart w:id="2" w:name="_Hlk88743831"/>
      <w:r w:rsidRPr="00B95D8E">
        <w:rPr>
          <w:rFonts w:ascii="Arial" w:eastAsia="Times New Roman" w:hAnsi="Arial" w:cs="Arial"/>
          <w:bCs/>
          <w:sz w:val="22"/>
          <w:szCs w:val="22"/>
          <w:lang w:val="es-ES" w:eastAsia="es-ES"/>
        </w:rPr>
        <w:t xml:space="preserve">2026-06-10</w:t>
      </w:r>
    </w:p>
    <w:p w14:paraId="1EB70AE3" w14:textId="77777777" w:rsidR="00392B3C" w:rsidRPr="00B95D8E" w:rsidRDefault="00392B3C" w:rsidP="000770E1">
      <w:pPr>
        <w:jc w:val="both"/>
        <w:rPr>
          <w:rFonts w:ascii="Arial" w:hAnsi="Arial" w:cs="Arial"/>
          <w:sz w:val="22"/>
          <w:szCs w:val="22"/>
        </w:rPr>
      </w:pPr>
    </w:p>
    <w:p w14:paraId="6F295E0F" w14:textId="77777777" w:rsidR="000770E1" w:rsidRPr="00B95D8E" w:rsidRDefault="000770E1" w:rsidP="000770E1">
      <w:pPr>
        <w:pStyle w:val="Ttulo1"/>
        <w:jc w:val="both"/>
        <w:rPr>
          <w:bCs w:val="0"/>
          <w:color w:val="auto"/>
          <w:sz w:val="22"/>
          <w:szCs w:val="22"/>
        </w:rPr>
      </w:pPr>
      <w:r w:rsidRPr="00B95D8E">
        <w:rPr>
          <w:bCs w:val="0"/>
          <w:color w:val="auto"/>
          <w:sz w:val="22"/>
          <w:szCs w:val="22"/>
        </w:rPr>
        <w:t xml:space="preserve">Señores </w:t>
      </w:r>
    </w:p>
    <w:p w14:paraId="210A5D1D" w14:textId="4A7034BB" w:rsidR="0078502D" w:rsidRPr="00B95D8E" w:rsidRDefault="0078502D" w:rsidP="0078502D">
      <w:pPr>
        <w:jc w:val="both"/>
        <w:rPr>
          <w:rFonts w:ascii="Arial" w:hAnsi="Arial" w:cs="Arial"/>
          <w:b/>
          <w:sz w:val="22"/>
          <w:szCs w:val="22"/>
        </w:rPr>
      </w:pPr>
      <w:r w:rsidRPr="00B95D8E">
        <w:rPr>
          <w:rFonts w:ascii="Arial" w:hAnsi="Arial" w:cs="Arial"/>
          <w:b/>
          <w:sz w:val="22"/>
          <w:szCs w:val="22"/>
        </w:rPr>
        <w:t xml:space="preserve">rewrwerewr</w:t>
      </w:r>
      <w:r w:rsidR="00B95D8E">
        <w:rPr>
          <w:rFonts w:ascii="Arial" w:hAnsi="Arial" w:cs="Arial"/>
          <w:b/>
          <w:sz w:val="22"/>
          <w:szCs w:val="22"/>
        </w:rPr>
      </w:r>
      <w:r w:rsidRPr="00B95D8E">
        <w:rPr>
          <w:rFonts w:ascii="Arial" w:hAnsi="Arial" w:cs="Arial"/>
          <w:b/>
          <w:sz w:val="22"/>
          <w:szCs w:val="22"/>
        </w:rPr>
      </w:r>
      <w:r w:rsidR="00B95D8E">
        <w:rPr>
          <w:rFonts w:ascii="Arial" w:hAnsi="Arial" w:cs="Arial"/>
          <w:b/>
          <w:sz w:val="22"/>
          <w:szCs w:val="22"/>
        </w:rPr>
      </w:r>
      <w:r w:rsidRPr="00B95D8E">
        <w:rPr>
          <w:rFonts w:ascii="Arial" w:hAnsi="Arial" w:cs="Arial"/>
          <w:b/>
          <w:sz w:val="22"/>
          <w:szCs w:val="22"/>
        </w:rPr>
      </w:r>
    </w:p>
    <w:p w14:paraId="25A2D829" w14:textId="77777777" w:rsidR="000770E1" w:rsidRPr="00B95D8E" w:rsidRDefault="000770E1" w:rsidP="000770E1">
      <w:pPr>
        <w:jc w:val="both"/>
        <w:rPr>
          <w:rFonts w:ascii="Arial" w:hAnsi="Arial" w:cs="Arial"/>
          <w:b/>
          <w:sz w:val="22"/>
          <w:szCs w:val="22"/>
        </w:rPr>
      </w:pPr>
      <w:r w:rsidRPr="00B95D8E">
        <w:rPr>
          <w:rFonts w:ascii="Arial" w:hAnsi="Arial" w:cs="Arial"/>
          <w:b/>
          <w:sz w:val="22"/>
          <w:szCs w:val="22"/>
        </w:rPr>
        <w:t>E.</w:t>
      </w:r>
      <w:r w:rsidRPr="00B95D8E">
        <w:rPr>
          <w:rFonts w:ascii="Arial" w:hAnsi="Arial" w:cs="Arial"/>
          <w:b/>
          <w:sz w:val="22"/>
          <w:szCs w:val="22"/>
        </w:rPr>
        <w:tab/>
        <w:t>S.</w:t>
      </w:r>
      <w:r w:rsidRPr="00B95D8E">
        <w:rPr>
          <w:rFonts w:ascii="Arial" w:hAnsi="Arial" w:cs="Arial"/>
          <w:b/>
          <w:sz w:val="22"/>
          <w:szCs w:val="22"/>
        </w:rPr>
        <w:tab/>
        <w:t>D.</w:t>
      </w:r>
    </w:p>
    <w:p w14:paraId="2DBB62A3" w14:textId="77777777" w:rsidR="000770E1" w:rsidRPr="00B95D8E" w:rsidRDefault="000770E1" w:rsidP="000770E1">
      <w:pPr>
        <w:jc w:val="both"/>
        <w:rPr>
          <w:rFonts w:ascii="Arial" w:hAnsi="Arial" w:cs="Arial"/>
          <w:sz w:val="22"/>
          <w:szCs w:val="22"/>
        </w:rPr>
      </w:pPr>
    </w:p>
    <w:p w14:paraId="08C3E541" w14:textId="77777777" w:rsidR="00EA66B3" w:rsidRPr="00B95D8E" w:rsidRDefault="000770E1" w:rsidP="004A4D19">
      <w:pPr>
        <w:ind w:left="1985" w:hanging="1701"/>
        <w:jc w:val="both"/>
        <w:rPr>
          <w:rFonts w:ascii="Arial" w:hAnsi="Arial" w:cs="Arial"/>
          <w:bCs/>
          <w:sz w:val="22"/>
          <w:szCs w:val="22"/>
        </w:rPr>
      </w:pPr>
      <w:r w:rsidRPr="00B95D8E">
        <w:rPr>
          <w:rFonts w:ascii="Arial" w:hAnsi="Arial" w:cs="Arial"/>
          <w:b/>
          <w:bCs/>
          <w:sz w:val="22"/>
          <w:szCs w:val="22"/>
        </w:rPr>
        <w:t>REF.</w:t>
      </w:r>
      <w:r w:rsidRPr="00B95D8E">
        <w:rPr>
          <w:rFonts w:ascii="Arial" w:hAnsi="Arial" w:cs="Arial"/>
          <w:sz w:val="22"/>
          <w:szCs w:val="22"/>
        </w:rPr>
        <w:t xml:space="preserve"> </w:t>
      </w:r>
      <w:r w:rsidRPr="00B95D8E">
        <w:rPr>
          <w:rFonts w:ascii="Arial" w:hAnsi="Arial" w:cs="Arial"/>
          <w:sz w:val="22"/>
          <w:szCs w:val="22"/>
        </w:rPr>
        <w:tab/>
        <w:t xml:space="preserve">Memorial informativo estructura </w:t>
      </w:r>
      <w:r w:rsidR="004A4D19" w:rsidRPr="00B95D8E">
        <w:rPr>
          <w:rFonts w:ascii="Arial" w:hAnsi="Arial" w:cs="Arial"/>
          <w:bCs/>
          <w:sz w:val="22"/>
          <w:szCs w:val="22"/>
        </w:rPr>
        <w:t>EPS SURAMERICANA S.A.</w:t>
      </w:r>
    </w:p>
    <w:p w14:paraId="5E3EA084" w14:textId="77777777" w:rsidR="000770E1" w:rsidRPr="00B95D8E" w:rsidRDefault="000770E1" w:rsidP="004A4D19">
      <w:pPr>
        <w:ind w:left="1985" w:hanging="1701"/>
        <w:jc w:val="both"/>
        <w:rPr>
          <w:rFonts w:ascii="Arial" w:hAnsi="Arial" w:cs="Arial"/>
          <w:bCs/>
          <w:sz w:val="22"/>
          <w:szCs w:val="22"/>
        </w:rPr>
      </w:pPr>
      <w:r w:rsidRPr="00B95D8E">
        <w:rPr>
          <w:rFonts w:ascii="Arial" w:hAnsi="Arial" w:cs="Arial"/>
          <w:b/>
          <w:bCs/>
          <w:sz w:val="22"/>
          <w:szCs w:val="22"/>
        </w:rPr>
        <w:t xml:space="preserve">Accionante:EWREWREWR</w:t>
        <w:tab/>
        <w:t/>
      </w:r>
      <w:r w:rsidRPr="00B95D8E">
        <w:rPr>
          <w:rFonts w:ascii="Arial" w:hAnsi="Arial" w:cs="Arial"/>
          <w:sz w:val="22"/>
          <w:szCs w:val="22"/>
        </w:rPr>
      </w:r>
      <w:r w:rsidRPr="00B95D8E">
        <w:rPr>
          <w:rFonts w:ascii="Arial" w:hAnsi="Arial" w:cs="Arial"/>
          <w:sz w:val="22"/>
          <w:szCs w:val="22"/>
        </w:rPr>
      </w:r>
      <w:r w:rsidR="008349EE" w:rsidRPr="00B95D8E">
        <w:rPr>
          <w:rFonts w:ascii="Arial" w:hAnsi="Arial" w:cs="Arial"/>
          <w:sz w:val="22"/>
          <w:szCs w:val="22"/>
        </w:rPr>
      </w:r>
    </w:p>
    <w:p w14:paraId="23A0C0BF" w14:textId="77777777" w:rsidR="000770E1" w:rsidRPr="00B95D8E" w:rsidRDefault="000770E1" w:rsidP="000770E1">
      <w:pPr>
        <w:ind w:left="1985" w:hanging="1701"/>
        <w:jc w:val="both"/>
        <w:rPr>
          <w:rFonts w:ascii="Arial" w:hAnsi="Arial" w:cs="Arial"/>
          <w:bCs/>
          <w:sz w:val="22"/>
          <w:szCs w:val="22"/>
        </w:rPr>
      </w:pPr>
      <w:r w:rsidRPr="00B95D8E">
        <w:rPr>
          <w:rFonts w:ascii="Arial" w:hAnsi="Arial" w:cs="Arial"/>
          <w:b/>
          <w:bCs/>
          <w:sz w:val="22"/>
          <w:szCs w:val="22"/>
        </w:rPr>
        <w:t>Accionado:</w:t>
      </w:r>
      <w:r w:rsidRPr="00B95D8E">
        <w:rPr>
          <w:rFonts w:ascii="Arial" w:hAnsi="Arial" w:cs="Arial"/>
          <w:b/>
          <w:bCs/>
          <w:sz w:val="22"/>
          <w:szCs w:val="22"/>
        </w:rPr>
        <w:tab/>
      </w:r>
      <w:r w:rsidR="00543BA9" w:rsidRPr="00B95D8E">
        <w:rPr>
          <w:rFonts w:ascii="Arial" w:hAnsi="Arial" w:cs="Arial"/>
          <w:bCs/>
          <w:sz w:val="22"/>
          <w:szCs w:val="22"/>
        </w:rPr>
        <w:t>EPS SURA - 8000887022</w:t>
      </w:r>
    </w:p>
    <w:p w14:paraId="690F1C3A" w14:textId="77777777" w:rsidR="00BC174C" w:rsidRPr="00B95D8E" w:rsidRDefault="000770E1" w:rsidP="00BC174C">
      <w:pPr>
        <w:ind w:left="1985" w:hanging="1701"/>
        <w:jc w:val="both"/>
        <w:rPr>
          <w:rFonts w:ascii="Arial" w:hAnsi="Arial" w:cs="Arial"/>
          <w:bCs/>
          <w:sz w:val="22"/>
          <w:szCs w:val="22"/>
        </w:rPr>
      </w:pPr>
      <w:r w:rsidRPr="00B95D8E">
        <w:rPr>
          <w:rFonts w:ascii="Arial" w:hAnsi="Arial" w:cs="Arial"/>
          <w:b/>
          <w:bCs/>
          <w:sz w:val="22"/>
          <w:szCs w:val="22"/>
        </w:rPr>
        <w:t xml:space="preserve">Radicado:51234532452</w:t>
        <w:tab/>
        <w:t/>
      </w:r>
      <w:r w:rsidRPr="00B95D8E">
        <w:rPr>
          <w:rFonts w:ascii="Arial" w:hAnsi="Arial" w:cs="Arial"/>
          <w:sz w:val="22"/>
          <w:szCs w:val="22"/>
        </w:rPr>
      </w:r>
      <w:r w:rsidR="00BC174C" w:rsidRPr="00B95D8E">
        <w:rPr>
          <w:rFonts w:ascii="Arial" w:hAnsi="Arial" w:cs="Arial"/>
          <w:sz w:val="22"/>
          <w:szCs w:val="22"/>
        </w:rPr>
      </w:r>
    </w:p>
    <w:p w14:paraId="03BAC9CC" w14:textId="77777777" w:rsidR="000770E1" w:rsidRPr="00B95D8E" w:rsidRDefault="000770E1" w:rsidP="000770E1">
      <w:pPr>
        <w:ind w:left="1985" w:hanging="1701"/>
        <w:jc w:val="both"/>
        <w:rPr>
          <w:rFonts w:ascii="Arial" w:hAnsi="Arial" w:cs="Arial"/>
          <w:sz w:val="22"/>
          <w:szCs w:val="22"/>
        </w:rPr>
      </w:pPr>
    </w:p>
    <w:p w14:paraId="34E2C940" w14:textId="77777777" w:rsidR="000770E1" w:rsidRPr="00B95D8E" w:rsidRDefault="000770E1" w:rsidP="000770E1">
      <w:pPr>
        <w:pStyle w:val="Default"/>
        <w:jc w:val="both"/>
        <w:rPr>
          <w:rFonts w:ascii="Arial" w:hAnsi="Arial" w:cs="Arial"/>
          <w:b/>
          <w:bCs/>
          <w:sz w:val="22"/>
          <w:szCs w:val="22"/>
        </w:rPr>
      </w:pPr>
      <w:r w:rsidRPr="00B95D8E">
        <w:rPr>
          <w:rFonts w:ascii="Arial" w:hAnsi="Arial" w:cs="Arial"/>
          <w:b/>
          <w:bCs/>
          <w:sz w:val="22"/>
          <w:szCs w:val="22"/>
        </w:rPr>
        <w:t>Información sobre el funcionario encargado o funcionaria encargada del cumplimiento de fallos de tutela:</w:t>
      </w:r>
    </w:p>
    <w:p w14:paraId="7B4F62E7" w14:textId="77777777" w:rsidR="000770E1" w:rsidRPr="00B95D8E" w:rsidRDefault="000770E1" w:rsidP="000770E1">
      <w:pPr>
        <w:pStyle w:val="Default"/>
        <w:jc w:val="both"/>
        <w:rPr>
          <w:rFonts w:ascii="Arial" w:hAnsi="Arial" w:cs="Arial"/>
          <w:sz w:val="22"/>
          <w:szCs w:val="22"/>
        </w:rPr>
      </w:pPr>
    </w:p>
    <w:p w14:paraId="2F924323" w14:textId="2AFB4E68" w:rsidR="000770E1" w:rsidRPr="00B95D8E" w:rsidRDefault="00B45E7C" w:rsidP="000770E1">
      <w:pPr>
        <w:pStyle w:val="Default"/>
        <w:jc w:val="both"/>
        <w:rPr>
          <w:rFonts w:ascii="Arial" w:hAnsi="Arial" w:cs="Arial"/>
          <w:sz w:val="22"/>
          <w:szCs w:val="22"/>
        </w:rPr>
      </w:pPr>
      <w:r w:rsidRPr="00B95D8E">
        <w:rPr>
          <w:rFonts w:ascii="Arial" w:hAnsi="Arial" w:cs="Arial"/>
          <w:sz w:val="22"/>
          <w:szCs w:val="22"/>
        </w:rPr>
        <w:t xml:space="preserve">EPS SURAMERICANA </w:t>
      </w:r>
      <w:r w:rsidR="00E850EF" w:rsidRPr="00B95D8E">
        <w:rPr>
          <w:rFonts w:ascii="Arial" w:hAnsi="Arial" w:cs="Arial"/>
          <w:sz w:val="22"/>
          <w:szCs w:val="22"/>
        </w:rPr>
        <w:t>S.A.</w:t>
      </w:r>
      <w:r w:rsidR="000770E1" w:rsidRPr="00B95D8E">
        <w:rPr>
          <w:rFonts w:ascii="Arial" w:hAnsi="Arial" w:cs="Arial"/>
          <w:sz w:val="22"/>
          <w:szCs w:val="22"/>
        </w:rPr>
        <w:t xml:space="preserve"> se encuentra dividida estructuralmente en cinco (5) regionales: Occidente, Eje Cafetero, Norte - Santanderes, Centro y Antioquia.</w:t>
      </w:r>
    </w:p>
    <w:p w14:paraId="19265C13" w14:textId="77777777" w:rsidR="000770E1" w:rsidRPr="00B95D8E" w:rsidRDefault="000770E1" w:rsidP="000770E1">
      <w:pPr>
        <w:pStyle w:val="Default"/>
        <w:jc w:val="both"/>
        <w:rPr>
          <w:rFonts w:ascii="Arial" w:hAnsi="Arial" w:cs="Arial"/>
          <w:sz w:val="22"/>
          <w:szCs w:val="22"/>
        </w:rPr>
      </w:pPr>
    </w:p>
    <w:p w14:paraId="6FA70DE1" w14:textId="77777777" w:rsidR="000770E1" w:rsidRPr="00B95D8E" w:rsidRDefault="000770E1" w:rsidP="000770E1">
      <w:pPr>
        <w:pStyle w:val="Default"/>
        <w:jc w:val="both"/>
        <w:rPr>
          <w:rFonts w:ascii="Arial" w:hAnsi="Arial" w:cs="Arial"/>
          <w:sz w:val="22"/>
          <w:szCs w:val="22"/>
        </w:rPr>
      </w:pPr>
      <w:r w:rsidRPr="00B95D8E">
        <w:rPr>
          <w:rFonts w:ascii="Arial" w:hAnsi="Arial" w:cs="Arial"/>
          <w:sz w:val="22"/>
          <w:szCs w:val="22"/>
        </w:rPr>
        <w:t xml:space="preserve">En el siguiente cuadro se pueden observar los representantes legales por regionales. </w:t>
      </w:r>
    </w:p>
    <w:p w14:paraId="76CC6DCA" w14:textId="77777777" w:rsidR="000770E1" w:rsidRPr="00B95D8E" w:rsidRDefault="000770E1" w:rsidP="000770E1">
      <w:pPr>
        <w:pStyle w:val="Default"/>
        <w:jc w:val="both"/>
        <w:rPr>
          <w:rFonts w:ascii="Arial" w:hAnsi="Arial" w:cs="Arial"/>
          <w:sz w:val="22"/>
          <w:szCs w:val="22"/>
        </w:rPr>
      </w:pPr>
    </w:p>
    <w:p w14:paraId="1B9CE4BB" w14:textId="77777777" w:rsidR="000770E1" w:rsidRPr="00B95D8E" w:rsidRDefault="004B3724" w:rsidP="000770E1">
      <w:pPr>
        <w:pStyle w:val="Default"/>
        <w:jc w:val="both"/>
        <w:rPr>
          <w:rFonts w:ascii="Arial" w:hAnsi="Arial" w:cs="Arial"/>
          <w:sz w:val="22"/>
          <w:szCs w:val="22"/>
        </w:rPr>
      </w:pPr>
      <w:r w:rsidRPr="00B95D8E">
        <w:rPr>
          <w:rFonts w:ascii="Arial" w:hAnsi="Arial" w:cs="Arial"/>
          <w:noProof/>
          <w:sz w:val="22"/>
          <w:szCs w:val="22"/>
        </w:rPr>
        <w:drawing>
          <wp:inline distT="0" distB="0" distL="0" distR="0" wp14:anchorId="28E3B160" wp14:editId="421883B8">
            <wp:extent cx="5991225" cy="1447800"/>
            <wp:effectExtent l="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7.png"/>
                    <pic:cNvPicPr/>
                  </pic:nvPicPr>
                  <pic:blipFill>
                    <a:blip r:embed="rId18"/>
                    <a:stretch>
                      <a:fillRect/>
                    </a:stretch>
                  </pic:blipFill>
                  <pic:spPr>
                    <a:xfrm>
                      <a:off x="0" y="0"/>
                      <a:ext cx="5991225" cy="1447800"/>
                    </a:xfrm>
                    <a:prstGeom prst="rect">
                      <a:avLst/>
                    </a:prstGeom>
                  </pic:spPr>
                </pic:pic>
              </a:graphicData>
            </a:graphic>
          </wp:inline>
        </w:drawing>
      </w:r>
    </w:p>
    <w:p w14:paraId="6CFFA7A2" w14:textId="77777777" w:rsidR="000770E1" w:rsidRPr="00B95D8E" w:rsidRDefault="000770E1" w:rsidP="000770E1">
      <w:pPr>
        <w:pStyle w:val="Default"/>
        <w:jc w:val="both"/>
        <w:rPr>
          <w:rFonts w:ascii="Arial" w:hAnsi="Arial" w:cs="Arial"/>
          <w:sz w:val="22"/>
          <w:szCs w:val="22"/>
        </w:rPr>
      </w:pPr>
    </w:p>
    <w:p w14:paraId="26CED98E" w14:textId="77777777" w:rsidR="000770E1" w:rsidRPr="00B95D8E" w:rsidRDefault="000770E1" w:rsidP="000770E1">
      <w:pPr>
        <w:pStyle w:val="Default"/>
        <w:jc w:val="both"/>
        <w:rPr>
          <w:rFonts w:ascii="Arial" w:hAnsi="Arial" w:cs="Arial"/>
          <w:sz w:val="22"/>
          <w:szCs w:val="22"/>
        </w:rPr>
      </w:pPr>
      <w:r w:rsidRPr="00B95D8E">
        <w:rPr>
          <w:rFonts w:ascii="Arial" w:hAnsi="Arial" w:cs="Arial"/>
          <w:sz w:val="22"/>
          <w:szCs w:val="22"/>
        </w:rPr>
        <w:t xml:space="preserve">Es importante mencionar que, el superior jerárquico de los Gerentes Regionales es: </w:t>
      </w:r>
    </w:p>
    <w:p w14:paraId="687CDF0C" w14:textId="77777777" w:rsidR="000770E1" w:rsidRPr="00B95D8E" w:rsidRDefault="000770E1" w:rsidP="000770E1">
      <w:pPr>
        <w:pStyle w:val="Default"/>
        <w:jc w:val="both"/>
        <w:rPr>
          <w:rFonts w:ascii="Arial" w:hAnsi="Arial" w:cs="Arial"/>
          <w:sz w:val="22"/>
          <w:szCs w:val="22"/>
        </w:rPr>
      </w:pPr>
    </w:p>
    <w:p w14:paraId="1985AD9F" w14:textId="77777777" w:rsidR="000770E1" w:rsidRPr="00B95D8E" w:rsidRDefault="00C66151" w:rsidP="000770E1">
      <w:pPr>
        <w:pStyle w:val="Default"/>
        <w:jc w:val="both"/>
        <w:rPr>
          <w:rFonts w:ascii="Arial" w:hAnsi="Arial" w:cs="Arial"/>
          <w:sz w:val="22"/>
          <w:szCs w:val="22"/>
        </w:rPr>
      </w:pPr>
      <w:r w:rsidRPr="00B95D8E">
        <w:rPr>
          <w:rFonts w:ascii="Arial" w:hAnsi="Arial" w:cs="Arial"/>
          <w:noProof/>
          <w:sz w:val="22"/>
          <w:szCs w:val="22"/>
        </w:rPr>
        <w:drawing>
          <wp:inline distT="0" distB="0" distL="0" distR="0" wp14:anchorId="41820D80" wp14:editId="354CB14E">
            <wp:extent cx="4241800" cy="774700"/>
            <wp:effectExtent l="0" t="0" r="0" b="0"/>
            <wp:docPr id="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_superior_Jerarquico_EPS.jpg"/>
                    <pic:cNvPicPr/>
                  </pic:nvPicPr>
                  <pic:blipFill>
                    <a:blip r:embed="rId19"/>
                    <a:stretch>
                      <a:fillRect/>
                    </a:stretch>
                  </pic:blipFill>
                  <pic:spPr>
                    <a:xfrm>
                      <a:off x="0" y="0"/>
                      <a:ext cx="4241800" cy="774700"/>
                    </a:xfrm>
                    <a:prstGeom prst="rect">
                      <a:avLst/>
                    </a:prstGeom>
                  </pic:spPr>
                </pic:pic>
              </a:graphicData>
            </a:graphic>
          </wp:inline>
        </w:drawing>
      </w:r>
    </w:p>
    <w:p w14:paraId="38627392" w14:textId="77777777" w:rsidR="00345B61" w:rsidRPr="00B95D8E" w:rsidRDefault="00345B61" w:rsidP="000770E1">
      <w:pPr>
        <w:pStyle w:val="Default"/>
        <w:jc w:val="both"/>
        <w:rPr>
          <w:rFonts w:ascii="Arial" w:hAnsi="Arial" w:cs="Arial"/>
          <w:sz w:val="22"/>
          <w:szCs w:val="22"/>
        </w:rPr>
      </w:pPr>
    </w:p>
    <w:p w14:paraId="33F87478" w14:textId="1F2FCDE1" w:rsidR="000770E1" w:rsidRPr="00B95D8E" w:rsidRDefault="000770E1" w:rsidP="000770E1">
      <w:pPr>
        <w:pStyle w:val="Default"/>
        <w:jc w:val="both"/>
        <w:rPr>
          <w:rFonts w:ascii="Arial" w:hAnsi="Arial" w:cs="Arial"/>
          <w:sz w:val="22"/>
          <w:szCs w:val="22"/>
        </w:rPr>
      </w:pPr>
      <w:r w:rsidRPr="00B95D8E">
        <w:rPr>
          <w:rFonts w:ascii="Arial" w:hAnsi="Arial" w:cs="Arial"/>
          <w:sz w:val="22"/>
          <w:szCs w:val="22"/>
        </w:rPr>
        <w:t>Por último, se hace necesario indicar al Despacho, los Departamentos y/o Municipios que hacen parte de cada regional, tal y como se expone en el siguiente cuadro:</w:t>
      </w:r>
      <w:r w:rsidR="00B95D8E">
        <w:rPr>
          <w:rFonts w:ascii="Arial" w:hAnsi="Arial" w:cs="Arial"/>
          <w:sz w:val="22"/>
          <w:szCs w:val="22"/>
        </w:rPr>
        <w:t xml:space="preserve"> </w:t>
      </w:r>
    </w:p>
    <w:p w14:paraId="5D98DD8F" w14:textId="77777777" w:rsidR="00BA585D" w:rsidRPr="00B95D8E" w:rsidRDefault="00BA585D" w:rsidP="000770E1">
      <w:pPr>
        <w:pStyle w:val="Default"/>
        <w:jc w:val="both"/>
        <w:rPr>
          <w:rFonts w:ascii="Arial" w:hAnsi="Arial" w:cs="Arial"/>
          <w:sz w:val="22"/>
          <w:szCs w:val="22"/>
        </w:rPr>
      </w:pPr>
    </w:p>
    <w:tbl>
      <w:tblPr>
        <w:tblW w:w="8838" w:type="dxa"/>
        <w:tblCellSpacing w:w="15" w:type="dxa"/>
        <w:tblCellMar>
          <w:top w:w="15" w:type="dxa"/>
          <w:left w:w="15" w:type="dxa"/>
          <w:bottom w:w="15" w:type="dxa"/>
          <w:right w:w="15" w:type="dxa"/>
        </w:tblCellMar>
        <w:tblLook w:val="04A0" w:firstRow="1" w:lastRow="0" w:firstColumn="1" w:lastColumn="0" w:noHBand="0" w:noVBand="1"/>
      </w:tblPr>
      <w:tblGrid>
        <w:gridCol w:w="8838"/>
      </w:tblGrid>
      <w:tr w:rsidR="000770E1" w:rsidRPr="00B95D8E" w14:paraId="27ABA57B" w14:textId="77777777" w:rsidTr="004E45D0">
        <w:trPr>
          <w:tblCellSpacing w:w="15" w:type="dxa"/>
        </w:trPr>
        <w:tc>
          <w:tcPr>
            <w:tcW w:w="8778" w:type="dxa"/>
            <w:vAlign w:val="center"/>
            <w:hideMark/>
          </w:tcPr>
          <w:tbl>
            <w:tblPr>
              <w:tblStyle w:val="Tablaconcuadrcula2-nfasis5"/>
              <w:tblW w:w="14134" w:type="dxa"/>
              <w:tblLook w:val="04A0" w:firstRow="1" w:lastRow="0" w:firstColumn="1" w:lastColumn="0" w:noHBand="0" w:noVBand="1"/>
            </w:tblPr>
            <w:tblGrid>
              <w:gridCol w:w="1713"/>
              <w:gridCol w:w="1886"/>
              <w:gridCol w:w="1520"/>
              <w:gridCol w:w="1815"/>
              <w:gridCol w:w="1800"/>
              <w:gridCol w:w="1800"/>
              <w:gridCol w:w="1800"/>
              <w:gridCol w:w="1800"/>
            </w:tblGrid>
            <w:tr w:rsidR="000770E1" w:rsidRPr="00B95D8E" w14:paraId="08BA0360" w14:textId="77777777" w:rsidTr="004E45D0">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8734" w:type="dxa"/>
                  <w:gridSpan w:val="5"/>
                  <w:shd w:val="clear" w:color="auto" w:fill="002060"/>
                  <w:hideMark/>
                </w:tcPr>
                <w:p w14:paraId="282E9D1E" w14:textId="77777777" w:rsidR="000770E1" w:rsidRPr="00B95D8E" w:rsidRDefault="000770E1" w:rsidP="004E45D0">
                  <w:pPr>
                    <w:jc w:val="center"/>
                    <w:rPr>
                      <w:rFonts w:ascii="Arial" w:eastAsia="Times New Roman" w:hAnsi="Arial" w:cs="Arial"/>
                      <w:b w:val="0"/>
                      <w:bCs w:val="0"/>
                      <w:color w:val="FFFFFF" w:themeColor="background1"/>
                      <w:sz w:val="22"/>
                      <w:szCs w:val="22"/>
                      <w:lang w:eastAsia="es-CO"/>
                    </w:rPr>
                  </w:pPr>
                  <w:r w:rsidRPr="00B95D8E">
                    <w:rPr>
                      <w:rFonts w:ascii="Arial" w:eastAsia="Times New Roman" w:hAnsi="Arial" w:cs="Arial"/>
                      <w:color w:val="FFFFFF" w:themeColor="background1"/>
                      <w:sz w:val="22"/>
                      <w:szCs w:val="22"/>
                      <w:lang w:eastAsia="es-CO"/>
                    </w:rPr>
                    <w:t>Regionales</w:t>
                  </w:r>
                </w:p>
              </w:tc>
              <w:tc>
                <w:tcPr>
                  <w:tcW w:w="1800" w:type="dxa"/>
                  <w:shd w:val="clear" w:color="auto" w:fill="002060"/>
                </w:tcPr>
                <w:p w14:paraId="1F4E5E71" w14:textId="77777777" w:rsidR="000770E1" w:rsidRPr="00B95D8E"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1C89E706" w14:textId="77777777" w:rsidR="000770E1" w:rsidRPr="00B95D8E"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c>
                <w:tcPr>
                  <w:tcW w:w="1800" w:type="dxa"/>
                  <w:shd w:val="clear" w:color="auto" w:fill="002060"/>
                </w:tcPr>
                <w:p w14:paraId="7170A014" w14:textId="77777777" w:rsidR="000770E1" w:rsidRPr="00B95D8E" w:rsidRDefault="000770E1" w:rsidP="004E45D0">
                  <w:pPr>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FFFFFF" w:themeColor="background1"/>
                      <w:sz w:val="22"/>
                      <w:szCs w:val="22"/>
                      <w:lang w:eastAsia="es-CO"/>
                    </w:rPr>
                  </w:pPr>
                </w:p>
              </w:tc>
            </w:tr>
            <w:tr w:rsidR="000770E1" w:rsidRPr="00B95D8E" w14:paraId="1CC0CF84" w14:textId="77777777" w:rsidTr="004E45D0">
              <w:trPr>
                <w:cnfStyle w:val="000000100000" w:firstRow="0" w:lastRow="0" w:firstColumn="0" w:lastColumn="0" w:oddVBand="0" w:evenVBand="0" w:oddHBand="1"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1713" w:type="dxa"/>
                  <w:hideMark/>
                </w:tcPr>
                <w:p w14:paraId="632020C3"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color w:val="000000"/>
                      <w:sz w:val="22"/>
                      <w:szCs w:val="22"/>
                      <w:lang w:eastAsia="es-CO"/>
                    </w:rPr>
                    <w:t>Regional Centro</w:t>
                  </w:r>
                </w:p>
              </w:tc>
              <w:tc>
                <w:tcPr>
                  <w:tcW w:w="1886" w:type="dxa"/>
                  <w:hideMark/>
                </w:tcPr>
                <w:p w14:paraId="6295BD18"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B95D8E">
                    <w:rPr>
                      <w:rFonts w:ascii="Arial" w:eastAsia="Times New Roman" w:hAnsi="Arial" w:cs="Arial"/>
                      <w:b/>
                      <w:bCs/>
                      <w:color w:val="000000"/>
                      <w:sz w:val="22"/>
                      <w:szCs w:val="22"/>
                      <w:lang w:eastAsia="es-CO"/>
                    </w:rPr>
                    <w:t>Regional Occidente</w:t>
                  </w:r>
                </w:p>
              </w:tc>
              <w:tc>
                <w:tcPr>
                  <w:tcW w:w="1520" w:type="dxa"/>
                  <w:hideMark/>
                </w:tcPr>
                <w:p w14:paraId="25841CE9"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B95D8E">
                    <w:rPr>
                      <w:rFonts w:ascii="Arial" w:eastAsia="Times New Roman" w:hAnsi="Arial" w:cs="Arial"/>
                      <w:b/>
                      <w:bCs/>
                      <w:color w:val="000000"/>
                      <w:sz w:val="22"/>
                      <w:szCs w:val="22"/>
                      <w:lang w:eastAsia="es-CO"/>
                    </w:rPr>
                    <w:t>Eje Cafetero</w:t>
                  </w:r>
                </w:p>
              </w:tc>
              <w:tc>
                <w:tcPr>
                  <w:tcW w:w="1815" w:type="dxa"/>
                  <w:hideMark/>
                </w:tcPr>
                <w:p w14:paraId="5855CC4B"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B95D8E">
                    <w:rPr>
                      <w:rFonts w:ascii="Arial" w:eastAsia="Times New Roman" w:hAnsi="Arial" w:cs="Arial"/>
                      <w:b/>
                      <w:bCs/>
                      <w:color w:val="000000"/>
                      <w:sz w:val="22"/>
                      <w:szCs w:val="22"/>
                      <w:lang w:eastAsia="es-CO"/>
                    </w:rPr>
                    <w:t xml:space="preserve">Regional Norte - </w:t>
                  </w:r>
                </w:p>
                <w:p w14:paraId="6E8B352E"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B95D8E">
                    <w:rPr>
                      <w:rFonts w:ascii="Arial" w:eastAsia="Times New Roman" w:hAnsi="Arial" w:cs="Arial"/>
                      <w:b/>
                      <w:bCs/>
                      <w:color w:val="000000"/>
                      <w:sz w:val="22"/>
                      <w:szCs w:val="22"/>
                      <w:lang w:eastAsia="es-CO"/>
                    </w:rPr>
                    <w:t>Santanderes</w:t>
                  </w:r>
                </w:p>
              </w:tc>
              <w:tc>
                <w:tcPr>
                  <w:tcW w:w="1800" w:type="dxa"/>
                  <w:hideMark/>
                </w:tcPr>
                <w:p w14:paraId="6D84210A"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r w:rsidRPr="00B95D8E">
                    <w:rPr>
                      <w:rFonts w:ascii="Arial" w:eastAsia="Times New Roman" w:hAnsi="Arial" w:cs="Arial"/>
                      <w:b/>
                      <w:bCs/>
                      <w:color w:val="000000"/>
                      <w:sz w:val="22"/>
                      <w:szCs w:val="22"/>
                      <w:lang w:eastAsia="es-CO"/>
                    </w:rPr>
                    <w:t>Regional Antioquia</w:t>
                  </w:r>
                </w:p>
              </w:tc>
              <w:tc>
                <w:tcPr>
                  <w:tcW w:w="1800" w:type="dxa"/>
                </w:tcPr>
                <w:p w14:paraId="00F47C3D"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3E4EF086"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c>
                <w:tcPr>
                  <w:tcW w:w="1800" w:type="dxa"/>
                </w:tcPr>
                <w:p w14:paraId="756E1FA4"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2"/>
                      <w:szCs w:val="22"/>
                      <w:lang w:eastAsia="es-CO"/>
                    </w:rPr>
                  </w:pPr>
                </w:p>
              </w:tc>
            </w:tr>
            <w:tr w:rsidR="000770E1" w:rsidRPr="00B95D8E" w14:paraId="07641999" w14:textId="77777777" w:rsidTr="004E45D0">
              <w:trPr>
                <w:trHeight w:val="270"/>
              </w:trPr>
              <w:tc>
                <w:tcPr>
                  <w:cnfStyle w:val="001000000000" w:firstRow="0" w:lastRow="0" w:firstColumn="1" w:lastColumn="0" w:oddVBand="0" w:evenVBand="0" w:oddHBand="0" w:evenHBand="0" w:firstRowFirstColumn="0" w:firstRowLastColumn="0" w:lastRowFirstColumn="0" w:lastRowLastColumn="0"/>
                  <w:tcW w:w="1713" w:type="dxa"/>
                  <w:hideMark/>
                </w:tcPr>
                <w:p w14:paraId="2BE5B506"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Meta</w:t>
                  </w:r>
                </w:p>
              </w:tc>
              <w:tc>
                <w:tcPr>
                  <w:tcW w:w="1886" w:type="dxa"/>
                  <w:hideMark/>
                </w:tcPr>
                <w:p w14:paraId="265E7841"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Valle del Cauca</w:t>
                  </w:r>
                </w:p>
              </w:tc>
              <w:tc>
                <w:tcPr>
                  <w:tcW w:w="1520" w:type="dxa"/>
                  <w:hideMark/>
                </w:tcPr>
                <w:p w14:paraId="11381D9F"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Quindío</w:t>
                  </w:r>
                </w:p>
              </w:tc>
              <w:tc>
                <w:tcPr>
                  <w:tcW w:w="1815" w:type="dxa"/>
                  <w:hideMark/>
                </w:tcPr>
                <w:p w14:paraId="30D52598"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Norte De Santander</w:t>
                  </w:r>
                </w:p>
              </w:tc>
              <w:tc>
                <w:tcPr>
                  <w:tcW w:w="1800" w:type="dxa"/>
                  <w:hideMark/>
                </w:tcPr>
                <w:p w14:paraId="7C1000F9"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Antioquia</w:t>
                  </w:r>
                </w:p>
              </w:tc>
              <w:tc>
                <w:tcPr>
                  <w:tcW w:w="1800" w:type="dxa"/>
                </w:tcPr>
                <w:p w14:paraId="0D02389C"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9427EBB"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7049F67"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22C6AA54"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2636BAB5"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Huila</w:t>
                  </w:r>
                </w:p>
              </w:tc>
              <w:tc>
                <w:tcPr>
                  <w:tcW w:w="1886" w:type="dxa"/>
                  <w:hideMark/>
                </w:tcPr>
                <w:p w14:paraId="1CA5671B"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xml:space="preserve"> Pasto</w:t>
                  </w:r>
                </w:p>
              </w:tc>
              <w:tc>
                <w:tcPr>
                  <w:tcW w:w="1520" w:type="dxa"/>
                  <w:hideMark/>
                </w:tcPr>
                <w:p w14:paraId="107136E0"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Risaralda</w:t>
                  </w:r>
                </w:p>
              </w:tc>
              <w:tc>
                <w:tcPr>
                  <w:tcW w:w="1815" w:type="dxa"/>
                  <w:hideMark/>
                </w:tcPr>
                <w:p w14:paraId="6252EE76"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Santander</w:t>
                  </w:r>
                </w:p>
              </w:tc>
              <w:tc>
                <w:tcPr>
                  <w:tcW w:w="1800" w:type="dxa"/>
                  <w:hideMark/>
                </w:tcPr>
                <w:p w14:paraId="229322D3"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xml:space="preserve">Chocó </w:t>
                  </w:r>
                </w:p>
              </w:tc>
              <w:tc>
                <w:tcPr>
                  <w:tcW w:w="1800" w:type="dxa"/>
                </w:tcPr>
                <w:p w14:paraId="01ABB918"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3E8894A"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AE79EDE"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19FF53E4" w14:textId="77777777" w:rsidTr="004E45D0">
              <w:trPr>
                <w:trHeight w:val="570"/>
              </w:trPr>
              <w:tc>
                <w:tcPr>
                  <w:cnfStyle w:val="001000000000" w:firstRow="0" w:lastRow="0" w:firstColumn="1" w:lastColumn="0" w:oddVBand="0" w:evenVBand="0" w:oddHBand="0" w:evenHBand="0" w:firstRowFirstColumn="0" w:firstRowLastColumn="0" w:lastRowFirstColumn="0" w:lastRowLastColumn="0"/>
                  <w:tcW w:w="1713" w:type="dxa"/>
                  <w:hideMark/>
                </w:tcPr>
                <w:p w14:paraId="3A811FC6"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lastRenderedPageBreak/>
                    <w:t>Cundinamarca – Bogotá</w:t>
                  </w:r>
                </w:p>
              </w:tc>
              <w:tc>
                <w:tcPr>
                  <w:tcW w:w="1886" w:type="dxa"/>
                  <w:hideMark/>
                </w:tcPr>
                <w:p w14:paraId="06ACBECF"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Cauca</w:t>
                  </w:r>
                </w:p>
              </w:tc>
              <w:tc>
                <w:tcPr>
                  <w:tcW w:w="1520" w:type="dxa"/>
                  <w:hideMark/>
                </w:tcPr>
                <w:p w14:paraId="2C20B071"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Caldas</w:t>
                  </w:r>
                </w:p>
              </w:tc>
              <w:tc>
                <w:tcPr>
                  <w:tcW w:w="1815" w:type="dxa"/>
                  <w:hideMark/>
                </w:tcPr>
                <w:p w14:paraId="7D1D9D17"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Guajira</w:t>
                  </w:r>
                </w:p>
              </w:tc>
              <w:tc>
                <w:tcPr>
                  <w:tcW w:w="1800" w:type="dxa"/>
                  <w:hideMark/>
                </w:tcPr>
                <w:p w14:paraId="7420647A"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19BB9688"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C8A9CC6"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CAD28B3"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643C366E"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34204DA"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Boyacá</w:t>
                  </w:r>
                </w:p>
              </w:tc>
              <w:tc>
                <w:tcPr>
                  <w:tcW w:w="1886" w:type="dxa"/>
                  <w:hideMark/>
                </w:tcPr>
                <w:p w14:paraId="46C113C9"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xml:space="preserve"> Putumayo</w:t>
                  </w:r>
                </w:p>
              </w:tc>
              <w:tc>
                <w:tcPr>
                  <w:tcW w:w="1520" w:type="dxa"/>
                  <w:hideMark/>
                </w:tcPr>
                <w:p w14:paraId="7820D1C5"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xml:space="preserve"> Tolima</w:t>
                  </w:r>
                </w:p>
              </w:tc>
              <w:tc>
                <w:tcPr>
                  <w:tcW w:w="1815" w:type="dxa"/>
                  <w:hideMark/>
                </w:tcPr>
                <w:p w14:paraId="1E1C64E9"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Cesar</w:t>
                  </w:r>
                </w:p>
              </w:tc>
              <w:tc>
                <w:tcPr>
                  <w:tcW w:w="1800" w:type="dxa"/>
                  <w:hideMark/>
                </w:tcPr>
                <w:p w14:paraId="4257F950"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44045485"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52B3FB7"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73841AD"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1B2622D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500F6B8"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Arauca</w:t>
                  </w:r>
                </w:p>
              </w:tc>
              <w:tc>
                <w:tcPr>
                  <w:tcW w:w="1886" w:type="dxa"/>
                  <w:hideMark/>
                </w:tcPr>
                <w:p w14:paraId="4105EC1A"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Amazonas</w:t>
                  </w:r>
                </w:p>
              </w:tc>
              <w:tc>
                <w:tcPr>
                  <w:tcW w:w="1520" w:type="dxa"/>
                  <w:hideMark/>
                </w:tcPr>
                <w:p w14:paraId="1B3F73A5"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Girardot</w:t>
                  </w:r>
                </w:p>
              </w:tc>
              <w:tc>
                <w:tcPr>
                  <w:tcW w:w="1815" w:type="dxa"/>
                  <w:hideMark/>
                </w:tcPr>
                <w:p w14:paraId="6C443E61"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Magdalena</w:t>
                  </w:r>
                </w:p>
              </w:tc>
              <w:tc>
                <w:tcPr>
                  <w:tcW w:w="1800" w:type="dxa"/>
                  <w:hideMark/>
                </w:tcPr>
                <w:p w14:paraId="111A0D59"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2F7EB76C"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B4F6488"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FD07506"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5F5B2886" w14:textId="77777777" w:rsidTr="004E45D0">
              <w:trPr>
                <w:cnfStyle w:val="000000100000" w:firstRow="0" w:lastRow="0" w:firstColumn="0" w:lastColumn="0" w:oddVBand="0" w:evenVBand="0" w:oddHBand="1" w:evenHBand="0" w:firstRowFirstColumn="0" w:firstRowLastColumn="0" w:lastRowFirstColumn="0" w:lastRowLastColumn="0"/>
                <w:trHeight w:val="5145"/>
              </w:trPr>
              <w:tc>
                <w:tcPr>
                  <w:cnfStyle w:val="001000000000" w:firstRow="0" w:lastRow="0" w:firstColumn="1" w:lastColumn="0" w:oddVBand="0" w:evenVBand="0" w:oddHBand="0" w:evenHBand="0" w:firstRowFirstColumn="0" w:firstRowLastColumn="0" w:lastRowFirstColumn="0" w:lastRowLastColumn="0"/>
                  <w:tcW w:w="1713" w:type="dxa"/>
                  <w:hideMark/>
                </w:tcPr>
                <w:p w14:paraId="2112C29C"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Casanare</w:t>
                  </w:r>
                </w:p>
              </w:tc>
              <w:tc>
                <w:tcPr>
                  <w:tcW w:w="1886" w:type="dxa"/>
                  <w:hideMark/>
                </w:tcPr>
                <w:p w14:paraId="67C098DC"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520" w:type="dxa"/>
                  <w:hideMark/>
                </w:tcPr>
                <w:p w14:paraId="62B526FB"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b/>
                      <w:bCs/>
                      <w:color w:val="000000"/>
                      <w:sz w:val="22"/>
                      <w:szCs w:val="22"/>
                      <w:lang w:eastAsia="es-CO"/>
                    </w:rPr>
                    <w:t>Norte del Valle:</w:t>
                  </w:r>
                  <w:r w:rsidRPr="00B95D8E">
                    <w:rPr>
                      <w:rFonts w:ascii="Arial" w:eastAsia="Times New Roman" w:hAnsi="Arial" w:cs="Arial"/>
                      <w:color w:val="000000"/>
                      <w:sz w:val="22"/>
                      <w:szCs w:val="22"/>
                      <w:lang w:eastAsia="es-CO"/>
                    </w:rPr>
                    <w:br/>
                    <w:t>Alcalá</w:t>
                  </w:r>
                  <w:r w:rsidRPr="00B95D8E">
                    <w:rPr>
                      <w:rFonts w:ascii="Arial" w:eastAsia="Times New Roman" w:hAnsi="Arial" w:cs="Arial"/>
                      <w:color w:val="000000"/>
                      <w:sz w:val="22"/>
                      <w:szCs w:val="22"/>
                      <w:lang w:eastAsia="es-CO"/>
                    </w:rPr>
                    <w:br/>
                    <w:t>Anserma Nuevo</w:t>
                  </w:r>
                  <w:r w:rsidRPr="00B95D8E">
                    <w:rPr>
                      <w:rFonts w:ascii="Arial" w:eastAsia="Times New Roman" w:hAnsi="Arial" w:cs="Arial"/>
                      <w:color w:val="000000"/>
                      <w:sz w:val="22"/>
                      <w:szCs w:val="22"/>
                      <w:lang w:eastAsia="es-CO"/>
                    </w:rPr>
                    <w:br/>
                    <w:t>Argelia</w:t>
                  </w:r>
                  <w:r w:rsidRPr="00B95D8E">
                    <w:rPr>
                      <w:rFonts w:ascii="Arial" w:eastAsia="Times New Roman" w:hAnsi="Arial" w:cs="Arial"/>
                      <w:color w:val="000000"/>
                      <w:sz w:val="22"/>
                      <w:szCs w:val="22"/>
                      <w:lang w:eastAsia="es-CO"/>
                    </w:rPr>
                    <w:br/>
                    <w:t>Caicedonia</w:t>
                  </w:r>
                  <w:r w:rsidRPr="00B95D8E">
                    <w:rPr>
                      <w:rFonts w:ascii="Arial" w:eastAsia="Times New Roman" w:hAnsi="Arial" w:cs="Arial"/>
                      <w:color w:val="000000"/>
                      <w:sz w:val="22"/>
                      <w:szCs w:val="22"/>
                      <w:lang w:eastAsia="es-CO"/>
                    </w:rPr>
                    <w:br/>
                    <w:t>Cartago</w:t>
                  </w:r>
                  <w:r w:rsidRPr="00B95D8E">
                    <w:rPr>
                      <w:rFonts w:ascii="Arial" w:eastAsia="Times New Roman" w:hAnsi="Arial" w:cs="Arial"/>
                      <w:color w:val="000000"/>
                      <w:sz w:val="22"/>
                      <w:szCs w:val="22"/>
                      <w:lang w:eastAsia="es-CO"/>
                    </w:rPr>
                    <w:br/>
                    <w:t>El Aguila</w:t>
                  </w:r>
                  <w:r w:rsidRPr="00B95D8E">
                    <w:rPr>
                      <w:rFonts w:ascii="Arial" w:eastAsia="Times New Roman" w:hAnsi="Arial" w:cs="Arial"/>
                      <w:color w:val="000000"/>
                      <w:sz w:val="22"/>
                      <w:szCs w:val="22"/>
                      <w:lang w:eastAsia="es-CO"/>
                    </w:rPr>
                    <w:br/>
                    <w:t>El Cairo</w:t>
                  </w:r>
                  <w:r w:rsidRPr="00B95D8E">
                    <w:rPr>
                      <w:rFonts w:ascii="Arial" w:eastAsia="Times New Roman" w:hAnsi="Arial" w:cs="Arial"/>
                      <w:color w:val="000000"/>
                      <w:sz w:val="22"/>
                      <w:szCs w:val="22"/>
                      <w:lang w:eastAsia="es-CO"/>
                    </w:rPr>
                    <w:br/>
                    <w:t>El Dobio</w:t>
                  </w:r>
                  <w:r w:rsidRPr="00B95D8E">
                    <w:rPr>
                      <w:rFonts w:ascii="Arial" w:eastAsia="Times New Roman" w:hAnsi="Arial" w:cs="Arial"/>
                      <w:color w:val="000000"/>
                      <w:sz w:val="22"/>
                      <w:szCs w:val="22"/>
                      <w:lang w:eastAsia="es-CO"/>
                    </w:rPr>
                    <w:br/>
                    <w:t>La Unión</w:t>
                  </w:r>
                  <w:r w:rsidRPr="00B95D8E">
                    <w:rPr>
                      <w:rFonts w:ascii="Arial" w:eastAsia="Times New Roman" w:hAnsi="Arial" w:cs="Arial"/>
                      <w:color w:val="000000"/>
                      <w:sz w:val="22"/>
                      <w:szCs w:val="22"/>
                      <w:lang w:eastAsia="es-CO"/>
                    </w:rPr>
                    <w:br/>
                    <w:t>La Victoria</w:t>
                  </w:r>
                  <w:r w:rsidRPr="00B95D8E">
                    <w:rPr>
                      <w:rFonts w:ascii="Arial" w:eastAsia="Times New Roman" w:hAnsi="Arial" w:cs="Arial"/>
                      <w:color w:val="000000"/>
                      <w:sz w:val="22"/>
                      <w:szCs w:val="22"/>
                      <w:lang w:eastAsia="es-CO"/>
                    </w:rPr>
                    <w:br/>
                    <w:t>Obando</w:t>
                  </w:r>
                  <w:r w:rsidRPr="00B95D8E">
                    <w:rPr>
                      <w:rFonts w:ascii="Arial" w:eastAsia="Times New Roman" w:hAnsi="Arial" w:cs="Arial"/>
                      <w:color w:val="000000"/>
                      <w:sz w:val="22"/>
                      <w:szCs w:val="22"/>
                      <w:lang w:eastAsia="es-CO"/>
                    </w:rPr>
                    <w:br/>
                    <w:t>Roldanillo</w:t>
                  </w:r>
                  <w:r w:rsidRPr="00B95D8E">
                    <w:rPr>
                      <w:rFonts w:ascii="Arial" w:eastAsia="Times New Roman" w:hAnsi="Arial" w:cs="Arial"/>
                      <w:color w:val="000000"/>
                      <w:sz w:val="22"/>
                      <w:szCs w:val="22"/>
                      <w:lang w:eastAsia="es-CO"/>
                    </w:rPr>
                    <w:br/>
                    <w:t>Sevilla</w:t>
                  </w:r>
                  <w:r w:rsidRPr="00B95D8E">
                    <w:rPr>
                      <w:rFonts w:ascii="Arial" w:eastAsia="Times New Roman" w:hAnsi="Arial" w:cs="Arial"/>
                      <w:color w:val="000000"/>
                      <w:sz w:val="22"/>
                      <w:szCs w:val="22"/>
                      <w:lang w:eastAsia="es-CO"/>
                    </w:rPr>
                    <w:br/>
                    <w:t>Toro</w:t>
                  </w:r>
                  <w:r w:rsidRPr="00B95D8E">
                    <w:rPr>
                      <w:rFonts w:ascii="Arial" w:eastAsia="Times New Roman" w:hAnsi="Arial" w:cs="Arial"/>
                      <w:color w:val="000000"/>
                      <w:sz w:val="22"/>
                      <w:szCs w:val="22"/>
                      <w:lang w:eastAsia="es-CO"/>
                    </w:rPr>
                    <w:br/>
                    <w:t>Ulloa</w:t>
                  </w:r>
                  <w:r w:rsidRPr="00B95D8E">
                    <w:rPr>
                      <w:rFonts w:ascii="Arial" w:eastAsia="Times New Roman" w:hAnsi="Arial" w:cs="Arial"/>
                      <w:color w:val="000000"/>
                      <w:sz w:val="22"/>
                      <w:szCs w:val="22"/>
                      <w:lang w:eastAsia="es-CO"/>
                    </w:rPr>
                    <w:br/>
                    <w:t>Versalles</w:t>
                  </w:r>
                  <w:r w:rsidRPr="00B95D8E">
                    <w:rPr>
                      <w:rFonts w:ascii="Arial" w:eastAsia="Times New Roman" w:hAnsi="Arial" w:cs="Arial"/>
                      <w:color w:val="000000"/>
                      <w:sz w:val="22"/>
                      <w:szCs w:val="22"/>
                      <w:lang w:eastAsia="es-CO"/>
                    </w:rPr>
                    <w:br/>
                    <w:t>Zarzal</w:t>
                  </w:r>
                </w:p>
              </w:tc>
              <w:tc>
                <w:tcPr>
                  <w:tcW w:w="1815" w:type="dxa"/>
                  <w:hideMark/>
                </w:tcPr>
                <w:p w14:paraId="5AA55D13"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Sucre</w:t>
                  </w:r>
                </w:p>
              </w:tc>
              <w:tc>
                <w:tcPr>
                  <w:tcW w:w="1800" w:type="dxa"/>
                  <w:hideMark/>
                </w:tcPr>
                <w:p w14:paraId="14F07F57"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6951F37C"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7F6D5CF"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375200C"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7CCE9763"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472E976A"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Vaupés</w:t>
                  </w:r>
                </w:p>
              </w:tc>
              <w:tc>
                <w:tcPr>
                  <w:tcW w:w="1886" w:type="dxa"/>
                  <w:hideMark/>
                </w:tcPr>
                <w:p w14:paraId="61738536"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520" w:type="dxa"/>
                  <w:hideMark/>
                </w:tcPr>
                <w:p w14:paraId="27CA624D"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15" w:type="dxa"/>
                  <w:hideMark/>
                </w:tcPr>
                <w:p w14:paraId="1A29FD37"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Bolívar</w:t>
                  </w:r>
                </w:p>
              </w:tc>
              <w:tc>
                <w:tcPr>
                  <w:tcW w:w="1800" w:type="dxa"/>
                  <w:hideMark/>
                </w:tcPr>
                <w:p w14:paraId="57E3E745"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5D2C160F"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7F572F09"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4EB47A8F"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58C3FE4F"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C92B032"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Guainía</w:t>
                  </w:r>
                </w:p>
              </w:tc>
              <w:tc>
                <w:tcPr>
                  <w:tcW w:w="1886" w:type="dxa"/>
                  <w:hideMark/>
                </w:tcPr>
                <w:p w14:paraId="427E3220"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520" w:type="dxa"/>
                  <w:hideMark/>
                </w:tcPr>
                <w:p w14:paraId="7E55C5CB"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15" w:type="dxa"/>
                  <w:hideMark/>
                </w:tcPr>
                <w:p w14:paraId="3B920A96"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Córdoba</w:t>
                  </w:r>
                </w:p>
              </w:tc>
              <w:tc>
                <w:tcPr>
                  <w:tcW w:w="1800" w:type="dxa"/>
                  <w:hideMark/>
                </w:tcPr>
                <w:p w14:paraId="6CACF07C"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4192B6A3"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4757324"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8CF0372"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7A29102C"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72000AFE"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Vichada</w:t>
                  </w:r>
                </w:p>
              </w:tc>
              <w:tc>
                <w:tcPr>
                  <w:tcW w:w="1886" w:type="dxa"/>
                  <w:hideMark/>
                </w:tcPr>
                <w:p w14:paraId="06B29A81"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520" w:type="dxa"/>
                  <w:hideMark/>
                </w:tcPr>
                <w:p w14:paraId="0CDDED74"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15" w:type="dxa"/>
                  <w:hideMark/>
                </w:tcPr>
                <w:p w14:paraId="38EB4386"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Atlántico</w:t>
                  </w:r>
                </w:p>
              </w:tc>
              <w:tc>
                <w:tcPr>
                  <w:tcW w:w="1800" w:type="dxa"/>
                  <w:hideMark/>
                </w:tcPr>
                <w:p w14:paraId="348A30FD"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3486346D"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1B95FD43"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421A7A3"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0215ECA1" w14:textId="77777777" w:rsidTr="004E45D0">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45E60C6"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Caquetá</w:t>
                  </w:r>
                </w:p>
              </w:tc>
              <w:tc>
                <w:tcPr>
                  <w:tcW w:w="1886" w:type="dxa"/>
                  <w:hideMark/>
                </w:tcPr>
                <w:p w14:paraId="03B337EB"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520" w:type="dxa"/>
                  <w:hideMark/>
                </w:tcPr>
                <w:p w14:paraId="0D74D764"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15" w:type="dxa"/>
                  <w:hideMark/>
                </w:tcPr>
                <w:p w14:paraId="5677C076"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hideMark/>
                </w:tcPr>
                <w:p w14:paraId="4B1F645B"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0E59C9B5"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259BE5A5"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68C5A9F4" w14:textId="77777777" w:rsidR="000770E1" w:rsidRPr="00B95D8E" w:rsidRDefault="000770E1" w:rsidP="004E45D0">
                  <w:pPr>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2"/>
                      <w:szCs w:val="22"/>
                      <w:lang w:eastAsia="es-CO"/>
                    </w:rPr>
                  </w:pPr>
                </w:p>
              </w:tc>
            </w:tr>
            <w:tr w:rsidR="000770E1" w:rsidRPr="00B95D8E" w14:paraId="265ED017" w14:textId="77777777" w:rsidTr="004E45D0">
              <w:trPr>
                <w:trHeight w:val="285"/>
              </w:trPr>
              <w:tc>
                <w:tcPr>
                  <w:cnfStyle w:val="001000000000" w:firstRow="0" w:lastRow="0" w:firstColumn="1" w:lastColumn="0" w:oddVBand="0" w:evenVBand="0" w:oddHBand="0" w:evenHBand="0" w:firstRowFirstColumn="0" w:firstRowLastColumn="0" w:lastRowFirstColumn="0" w:lastRowLastColumn="0"/>
                  <w:tcW w:w="1713" w:type="dxa"/>
                  <w:hideMark/>
                </w:tcPr>
                <w:p w14:paraId="1E23A10D" w14:textId="77777777" w:rsidR="000770E1" w:rsidRPr="00B95D8E" w:rsidRDefault="000770E1" w:rsidP="004E45D0">
                  <w:pPr>
                    <w:jc w:val="center"/>
                    <w:rPr>
                      <w:rFonts w:ascii="Arial" w:eastAsia="Times New Roman" w:hAnsi="Arial" w:cs="Arial"/>
                      <w:b w:val="0"/>
                      <w:bCs w:val="0"/>
                      <w:color w:val="000000"/>
                      <w:sz w:val="22"/>
                      <w:szCs w:val="22"/>
                      <w:lang w:eastAsia="es-CO"/>
                    </w:rPr>
                  </w:pPr>
                  <w:r w:rsidRPr="00B95D8E">
                    <w:rPr>
                      <w:rFonts w:ascii="Arial" w:eastAsia="Times New Roman" w:hAnsi="Arial" w:cs="Arial"/>
                      <w:b w:val="0"/>
                      <w:bCs w:val="0"/>
                      <w:color w:val="000000"/>
                      <w:sz w:val="22"/>
                      <w:szCs w:val="22"/>
                      <w:lang w:eastAsia="es-CO"/>
                    </w:rPr>
                    <w:t>Guaviare</w:t>
                  </w:r>
                </w:p>
              </w:tc>
              <w:tc>
                <w:tcPr>
                  <w:tcW w:w="1886" w:type="dxa"/>
                  <w:hideMark/>
                </w:tcPr>
                <w:p w14:paraId="57E62AEB"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520" w:type="dxa"/>
                  <w:hideMark/>
                </w:tcPr>
                <w:p w14:paraId="340956E2"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15" w:type="dxa"/>
                  <w:hideMark/>
                </w:tcPr>
                <w:p w14:paraId="6556E9F3"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hideMark/>
                </w:tcPr>
                <w:p w14:paraId="525A04EA"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r w:rsidRPr="00B95D8E">
                    <w:rPr>
                      <w:rFonts w:ascii="Arial" w:eastAsia="Times New Roman" w:hAnsi="Arial" w:cs="Arial"/>
                      <w:color w:val="000000"/>
                      <w:sz w:val="22"/>
                      <w:szCs w:val="22"/>
                      <w:lang w:eastAsia="es-CO"/>
                    </w:rPr>
                    <w:t> </w:t>
                  </w:r>
                </w:p>
              </w:tc>
              <w:tc>
                <w:tcPr>
                  <w:tcW w:w="1800" w:type="dxa"/>
                </w:tcPr>
                <w:p w14:paraId="627B6597"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32F530DE"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c>
                <w:tcPr>
                  <w:tcW w:w="1800" w:type="dxa"/>
                </w:tcPr>
                <w:p w14:paraId="0360746B" w14:textId="77777777" w:rsidR="000770E1" w:rsidRPr="00B95D8E" w:rsidRDefault="000770E1" w:rsidP="004E45D0">
                  <w:pPr>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2"/>
                      <w:szCs w:val="22"/>
                      <w:lang w:eastAsia="es-CO"/>
                    </w:rPr>
                  </w:pPr>
                </w:p>
              </w:tc>
            </w:tr>
          </w:tbl>
          <w:p w14:paraId="1E61C412" w14:textId="77777777" w:rsidR="000770E1" w:rsidRPr="00B95D8E" w:rsidRDefault="000770E1" w:rsidP="004E45D0">
            <w:pPr>
              <w:ind w:left="-329"/>
              <w:rPr>
                <w:rFonts w:ascii="Arial" w:eastAsia="Times New Roman" w:hAnsi="Arial" w:cs="Arial"/>
                <w:sz w:val="22"/>
                <w:szCs w:val="22"/>
                <w:lang w:eastAsia="es-CO"/>
              </w:rPr>
            </w:pPr>
            <w:r w:rsidRPr="00B95D8E">
              <w:rPr>
                <w:rFonts w:ascii="Arial" w:eastAsia="Times New Roman" w:hAnsi="Arial" w:cs="Arial"/>
                <w:color w:val="000000"/>
                <w:sz w:val="22"/>
                <w:szCs w:val="22"/>
                <w:lang w:eastAsia="es-CO"/>
              </w:rPr>
              <w:t> </w:t>
            </w:r>
          </w:p>
        </w:tc>
      </w:tr>
    </w:tbl>
    <w:p w14:paraId="7EF82956" w14:textId="77777777" w:rsidR="000770E1" w:rsidRPr="00B95D8E" w:rsidRDefault="000770E1" w:rsidP="000770E1">
      <w:pPr>
        <w:pStyle w:val="Textoindependiente"/>
        <w:jc w:val="both"/>
        <w:rPr>
          <w:rFonts w:cs="Arial"/>
          <w:sz w:val="22"/>
          <w:szCs w:val="22"/>
        </w:rPr>
      </w:pPr>
      <w:r w:rsidRPr="00B95D8E">
        <w:rPr>
          <w:rFonts w:cs="Arial"/>
          <w:sz w:val="22"/>
          <w:szCs w:val="22"/>
        </w:rPr>
        <w:t>Del señor Juez,</w:t>
      </w:r>
    </w:p>
    <w:p w14:paraId="1156B74A" w14:textId="77777777" w:rsidR="000770E1" w:rsidRPr="00B95D8E" w:rsidRDefault="000770E1" w:rsidP="000770E1">
      <w:pPr>
        <w:pStyle w:val="Textoindependiente"/>
        <w:jc w:val="both"/>
        <w:rPr>
          <w:rFonts w:cs="Arial"/>
          <w:noProof/>
          <w:sz w:val="22"/>
          <w:szCs w:val="22"/>
          <w:lang w:eastAsia="es-CO"/>
        </w:rPr>
      </w:pPr>
    </w:p>
    <w:p w14:paraId="1F2B13B6" w14:textId="782F37FD" w:rsidR="001106AA" w:rsidRPr="00B95D8E" w:rsidRDefault="00C3339B" w:rsidP="000770E1">
      <w:pPr>
        <w:pStyle w:val="Textoindependiente"/>
        <w:jc w:val="both"/>
        <w:rPr>
          <w:rFonts w:cs="Arial"/>
          <w:noProof/>
          <w:sz w:val="22"/>
          <w:szCs w:val="22"/>
          <w:lang w:eastAsia="es-CO"/>
        </w:rPr>
      </w:pPr>
      <w:r w:rsidRPr="00B95D8E">
        <w:rPr>
          <w:rFonts w:cs="Arial"/>
          <w:noProof/>
          <w:sz w:val="22"/>
          <w:szCs w:val="22"/>
        </w:rPr>
        <w:drawing>
          <wp:inline distT="0" distB="0" distL="0" distR="0" wp14:anchorId="5A3AD3F4" wp14:editId="1DE21095">
            <wp:extent cx="2097024" cy="987552"/>
            <wp:effectExtent l="0" t="0" r="0" b="0"/>
            <wp:docPr id="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RMA_PABLO_OTERO.png"/>
                    <pic:cNvPicPr/>
                  </pic:nvPicPr>
                  <pic:blipFill>
                    <a:blip r:embed="rId17"/>
                    <a:stretch>
                      <a:fillRect/>
                    </a:stretch>
                  </pic:blipFill>
                  <pic:spPr>
                    <a:xfrm>
                      <a:off x="0" y="0"/>
                      <a:ext cx="2097024" cy="987552"/>
                    </a:xfrm>
                    <a:prstGeom prst="rect">
                      <a:avLst/>
                    </a:prstGeom>
                  </pic:spPr>
                </pic:pic>
              </a:graphicData>
            </a:graphic>
          </wp:inline>
        </w:drawing>
      </w:r>
    </w:p>
    <w:bookmarkEnd w:id="2"/>
    <w:p w14:paraId="529FDDD2" w14:textId="4DF70E9D" w:rsidR="00BC174C" w:rsidRPr="00B95D8E" w:rsidRDefault="00856339" w:rsidP="00BC174C">
      <w:pPr>
        <w:pStyle w:val="Textoindependiente"/>
        <w:jc w:val="both"/>
        <w:rPr>
          <w:rFonts w:cs="Arial"/>
          <w:bCs/>
          <w:noProof/>
          <w:sz w:val="22"/>
          <w:szCs w:val="22"/>
          <w:lang w:eastAsia="es-CO"/>
        </w:rPr>
      </w:pPr>
      <w:r w:rsidRPr="00B95D8E">
        <w:rPr>
          <w:rFonts w:cs="Arial"/>
          <w:bCs/>
          <w:noProof/>
          <w:sz w:val="22"/>
          <w:szCs w:val="22"/>
          <w:lang w:eastAsia="es-CO"/>
        </w:rPr>
        <w:t xml:space="preserve">MARIA ISABEL VARGAS RESTREPO CC 43.876.543</w:t>
      </w:r>
      <w:r w:rsidR="00B95D8E">
        <w:rPr>
          <w:rFonts w:cs="Arial"/>
          <w:bCs/>
          <w:noProof/>
          <w:sz w:val="22"/>
          <w:szCs w:val="22"/>
          <w:lang w:eastAsia="es-CO"/>
        </w:rPr>
      </w:r>
      <w:r w:rsidRPr="00B95D8E">
        <w:rPr>
          <w:rFonts w:cs="Arial"/>
          <w:bCs/>
          <w:noProof/>
          <w:sz w:val="22"/>
          <w:szCs w:val="22"/>
          <w:lang w:eastAsia="es-CO"/>
        </w:rPr>
      </w:r>
    </w:p>
    <w:p w14:paraId="5766CE43" w14:textId="4683DCA5" w:rsidR="000770E1" w:rsidRPr="00B95D8E" w:rsidRDefault="00BC174C" w:rsidP="00E850EF">
      <w:pPr>
        <w:pStyle w:val="Textoindependiente"/>
        <w:jc w:val="both"/>
        <w:rPr>
          <w:rFonts w:cs="Arial"/>
          <w:sz w:val="22"/>
          <w:szCs w:val="22"/>
        </w:rPr>
      </w:pPr>
      <w:r w:rsidRPr="00B95D8E">
        <w:rPr>
          <w:rFonts w:cs="Arial"/>
          <w:bCs/>
          <w:noProof/>
          <w:sz w:val="22"/>
          <w:szCs w:val="22"/>
          <w:lang w:eastAsia="es-CO"/>
        </w:rPr>
        <w:t>Representante Legal</w:t>
      </w:r>
      <w:r w:rsidR="00EC74E0" w:rsidRPr="00B95D8E">
        <w:rPr>
          <w:rFonts w:cs="Arial"/>
          <w:bCs/>
          <w:noProof/>
          <w:sz w:val="22"/>
          <w:szCs w:val="22"/>
          <w:lang w:eastAsia="es-CO"/>
        </w:rPr>
        <w:t xml:space="preserve"> </w:t>
      </w:r>
      <w:r w:rsidRPr="00B95D8E">
        <w:rPr>
          <w:rFonts w:cs="Arial"/>
          <w:bCs/>
          <w:noProof/>
          <w:sz w:val="22"/>
          <w:szCs w:val="22"/>
          <w:lang w:eastAsia="es-CO"/>
        </w:rPr>
        <w:t xml:space="preserve">de </w:t>
      </w:r>
      <w:r w:rsidR="001106AA" w:rsidRPr="00B95D8E">
        <w:rPr>
          <w:rFonts w:cs="Arial"/>
          <w:bCs/>
          <w:noProof/>
          <w:sz w:val="22"/>
          <w:szCs w:val="22"/>
          <w:lang w:eastAsia="es-CO"/>
        </w:rPr>
        <w:t>EPS SURAMERICANA S.A.</w:t>
      </w:r>
    </w:p>
    <w:p w14:paraId="1E03C712" w14:textId="77777777" w:rsidR="000C6AB4" w:rsidRPr="00B95D8E" w:rsidRDefault="000C6AB4" w:rsidP="00B20789">
      <w:pPr>
        <w:tabs>
          <w:tab w:val="left" w:pos="2880"/>
        </w:tabs>
        <w:jc w:val="both"/>
        <w:rPr>
          <w:rFonts w:ascii="Arial" w:hAnsi="Arial" w:cs="Arial"/>
          <w:sz w:val="22"/>
          <w:szCs w:val="22"/>
          <w:lang w:val="es-ES" w:eastAsia="es-ES"/>
        </w:rPr>
      </w:pPr>
    </w:p>
    <w:sectPr w:rsidR="000C6AB4" w:rsidRPr="00B95D8E" w:rsidSect="00B7166C">
      <w:headerReference w:type="default" r:id="rId20"/>
      <w:footerReference w:type="even" r:id="rId21"/>
      <w:footerReference w:type="default" r:id="rId22"/>
      <w:pgSz w:w="12240" w:h="15840"/>
      <w:pgMar w:top="1417" w:right="1701" w:bottom="1417" w:left="1701" w:header="426"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1BB68D" w14:textId="77777777" w:rsidR="00B92888" w:rsidRDefault="00B92888" w:rsidP="00EB13FC">
      <w:r>
        <w:separator/>
      </w:r>
    </w:p>
  </w:endnote>
  <w:endnote w:type="continuationSeparator" w:id="0">
    <w:p w14:paraId="4995BA52" w14:textId="77777777" w:rsidR="00B92888" w:rsidRDefault="00B92888" w:rsidP="00EB1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entury Gothic">
    <w:altName w:val="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ura Sans Light">
    <w:panose1 w:val="00000000000000000000"/>
    <w:charset w:val="00"/>
    <w:family w:val="auto"/>
    <w:pitch w:val="variable"/>
    <w:sig w:usb0="A0000067" w:usb1="4000005A" w:usb2="00000000" w:usb3="00000000" w:csb0="000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541390299"/>
      <w:docPartObj>
        <w:docPartGallery w:val="Page Numbers (Bottom of Page)"/>
        <w:docPartUnique/>
      </w:docPartObj>
    </w:sdtPr>
    <w:sdtContent>
      <w:p w14:paraId="13C8A7A1" w14:textId="77777777" w:rsidR="008B4659" w:rsidRDefault="008B4659" w:rsidP="008B4659">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8703A9">
          <w:rPr>
            <w:rStyle w:val="Nmerodepgina"/>
            <w:noProof/>
          </w:rPr>
          <w:t>1</w:t>
        </w:r>
        <w:r>
          <w:rPr>
            <w:rStyle w:val="Nmerodepgina"/>
          </w:rPr>
          <w:fldChar w:fldCharType="end"/>
        </w:r>
      </w:p>
    </w:sdtContent>
  </w:sdt>
  <w:p w14:paraId="13D38B41" w14:textId="77777777" w:rsidR="008B4659" w:rsidRDefault="008B4659" w:rsidP="00586626">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046DE0" w14:textId="77777777" w:rsidR="008B4659" w:rsidRDefault="008B4659" w:rsidP="00523C07">
    <w:pPr>
      <w:pStyle w:val="Piedepgina"/>
      <w:jc w:val="right"/>
      <w:rPr>
        <w:color w:val="4472C4" w:themeColor="accent1"/>
      </w:rPr>
    </w:pPr>
  </w:p>
  <w:p w14:paraId="4AF80FAD" w14:textId="77777777" w:rsidR="008B4659" w:rsidRPr="00523C07" w:rsidRDefault="008B4659" w:rsidP="00523C07">
    <w:pPr>
      <w:pStyle w:val="Piedepgina"/>
      <w:jc w:val="right"/>
      <w:rPr>
        <w:color w:val="595959" w:themeColor="text1" w:themeTint="A6"/>
      </w:rPr>
    </w:pPr>
  </w:p>
  <w:p w14:paraId="297E4FDE" w14:textId="7926EFA7" w:rsidR="008B4659" w:rsidRPr="00523C07" w:rsidRDefault="00B95D8E" w:rsidP="00523C07">
    <w:pPr>
      <w:pStyle w:val="Piedepgina"/>
      <w:spacing w:line="360" w:lineRule="auto"/>
      <w:ind w:right="360"/>
      <w:rPr>
        <w:color w:val="595959" w:themeColor="text1" w:themeTint="A6"/>
        <w:lang w:val="es-CO"/>
      </w:rPr>
    </w:pPr>
    <w:r>
      <w:rPr>
        <w:color w:val="595959" w:themeColor="text1" w:themeTint="A6"/>
        <w:lang w:val="es-CO"/>
      </w:rPr>
      <w:t xml:space="preserve">                    </w:t>
    </w:r>
    <w:r w:rsidR="008B4659" w:rsidRPr="00523C07">
      <w:rPr>
        <w:color w:val="595959" w:themeColor="text1" w:themeTint="A6"/>
        <w:lang w:val="es-CO"/>
      </w:rPr>
      <w:t xml:space="preserve"> </w:t>
    </w:r>
    <w:r w:rsidR="008B4659" w:rsidRPr="00523C07">
      <w:rPr>
        <w:color w:val="595959" w:themeColor="text1" w:themeTint="A6"/>
      </w:rPr>
      <w:t xml:space="preserve">Página </w:t>
    </w:r>
    <w:r w:rsidR="008B4659" w:rsidRPr="00523C07">
      <w:rPr>
        <w:color w:val="595959" w:themeColor="text1" w:themeTint="A6"/>
      </w:rPr>
      <w:fldChar w:fldCharType="begin"/>
    </w:r>
    <w:r w:rsidR="008B4659" w:rsidRPr="00523C07">
      <w:rPr>
        <w:color w:val="595959" w:themeColor="text1" w:themeTint="A6"/>
      </w:rPr>
      <w:instrText>PAGE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r w:rsidR="008B4659" w:rsidRPr="00523C07">
      <w:rPr>
        <w:color w:val="595959" w:themeColor="text1" w:themeTint="A6"/>
      </w:rPr>
      <w:t xml:space="preserve"> de </w:t>
    </w:r>
    <w:r w:rsidR="008B4659" w:rsidRPr="00523C07">
      <w:rPr>
        <w:color w:val="595959" w:themeColor="text1" w:themeTint="A6"/>
      </w:rPr>
      <w:fldChar w:fldCharType="begin"/>
    </w:r>
    <w:r w:rsidR="008B4659" w:rsidRPr="00523C07">
      <w:rPr>
        <w:color w:val="595959" w:themeColor="text1" w:themeTint="A6"/>
      </w:rPr>
      <w:instrText>NUMPAGES  \* Arabic  \* MERGEFORMAT</w:instrText>
    </w:r>
    <w:r w:rsidR="008B4659" w:rsidRPr="00523C07">
      <w:rPr>
        <w:color w:val="595959" w:themeColor="text1" w:themeTint="A6"/>
      </w:rPr>
      <w:fldChar w:fldCharType="separate"/>
    </w:r>
    <w:r w:rsidR="00EC74E0">
      <w:rPr>
        <w:noProof/>
        <w:color w:val="595959" w:themeColor="text1" w:themeTint="A6"/>
      </w:rPr>
      <w:t>4</w:t>
    </w:r>
    <w:r w:rsidR="008B4659" w:rsidRPr="00523C07">
      <w:rPr>
        <w:color w:val="595959" w:themeColor="text1" w:themeTint="A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BC5C19" w14:textId="77777777" w:rsidR="00B92888" w:rsidRDefault="00B92888" w:rsidP="00EB13FC">
      <w:r>
        <w:separator/>
      </w:r>
    </w:p>
  </w:footnote>
  <w:footnote w:type="continuationSeparator" w:id="0">
    <w:p w14:paraId="134AB4F1" w14:textId="77777777" w:rsidR="00B92888" w:rsidRDefault="00B92888" w:rsidP="00EB13FC">
      <w:r>
        <w:continuationSeparator/>
      </w:r>
    </w:p>
  </w:footnote>
  <w:footnote w:id="1">
    <w:p w14:paraId="09761D75" w14:textId="77777777" w:rsidR="009273FD" w:rsidRPr="000A45B7" w:rsidRDefault="009273FD" w:rsidP="009273FD">
      <w:pPr>
        <w:pStyle w:val="Textonotapie"/>
        <w:jc w:val="both"/>
        <w:rPr>
          <w:lang w:val="es-ES"/>
        </w:rPr>
      </w:pPr>
      <w:r>
        <w:rPr>
          <w:rStyle w:val="Refdenotaalpie"/>
        </w:rPr>
        <w:footnoteRef/>
      </w:r>
      <w:r>
        <w:t xml:space="preserve"> </w:t>
      </w:r>
      <w:r w:rsidRPr="00967C67">
        <w:rPr>
          <w:rFonts w:ascii="Arial" w:hAnsi="Arial" w:cs="Arial"/>
          <w:sz w:val="16"/>
          <w:szCs w:val="16"/>
        </w:rPr>
        <w:t>La UPC es un valor unitario que reconoce el Sistema de Salud a las EPS, la cual es determinada por el número de afiliados a ésta y en función del perfil epidemiológico de la población, riesgos cubiertos y costos de la prestación del servicio.</w:t>
      </w:r>
    </w:p>
  </w:footnote>
  <w:footnote w:id="2">
    <w:p w14:paraId="1354BBEB" w14:textId="77777777" w:rsidR="009273FD" w:rsidRPr="007037BA" w:rsidRDefault="009273FD" w:rsidP="009273FD">
      <w:pPr>
        <w:pStyle w:val="Textonotapie"/>
        <w:jc w:val="both"/>
        <w:rPr>
          <w:rFonts w:ascii="Sura Sans Light" w:hAnsi="Sura Sans Light"/>
          <w:sz w:val="16"/>
          <w:szCs w:val="16"/>
        </w:rPr>
      </w:pPr>
      <w:r>
        <w:rPr>
          <w:rStyle w:val="Refdenotaalpie"/>
        </w:rPr>
        <w:footnoteRef/>
      </w:r>
      <w:r>
        <w:t xml:space="preserve"> </w:t>
      </w:r>
      <w:r w:rsidRPr="00967C67">
        <w:rPr>
          <w:rFonts w:ascii="Arial" w:hAnsi="Arial" w:cs="Arial"/>
          <w:sz w:val="16"/>
          <w:szCs w:val="16"/>
        </w:rPr>
        <w:t>Su señoría, en un ejercicio básico, descargue de la sección “Consulta” de la página de la ADRES</w:t>
      </w:r>
      <w:r w:rsidRPr="00967C67">
        <w:rPr>
          <w:rFonts w:ascii="Arial" w:hAnsi="Arial" w:cs="Arial"/>
        </w:rPr>
        <w:t xml:space="preserve"> </w:t>
      </w:r>
      <w:hyperlink r:id="rId1" w:history="1">
        <w:r w:rsidRPr="00967C67">
          <w:rPr>
            <w:rStyle w:val="Hipervnculo"/>
            <w:rFonts w:ascii="Arial" w:hAnsi="Arial" w:cs="Arial"/>
            <w:sz w:val="16"/>
            <w:szCs w:val="16"/>
          </w:rPr>
          <w:t>https://www.adres.gov.co/lupa-al-giro/presupuestos-maximos</w:t>
        </w:r>
      </w:hyperlink>
      <w:r w:rsidRPr="00967C67">
        <w:rPr>
          <w:rFonts w:ascii="Arial" w:hAnsi="Arial" w:cs="Arial"/>
          <w:sz w:val="16"/>
          <w:szCs w:val="16"/>
        </w:rPr>
        <w:t xml:space="preserve"> el archivo en Excel denominado “PM-Julio-2024” donde observará los valores girados a EPS SURA por concepto de presupuestos máximos (y giro directo) de los meses de Mayo y Junio; y descargue el archivo en Excel denominado “PM-Agosto-Septiembre-2024” en el cual no se hizo giro por PM a EPS SURA ni tampoco giro directo a los prestadores inscritos por esta para este mecanismo de pago anticipado. Esto es una clara muestra de la procedencia de la vinculación en el presente trámite al Ministerio y la ADRES.</w:t>
      </w:r>
      <w:r>
        <w:rPr>
          <w:rFonts w:ascii="Sura Sans Light" w:hAnsi="Sura Sans Light"/>
          <w:sz w:val="16"/>
          <w:szCs w:val="16"/>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96EB16" w14:textId="77777777" w:rsidR="00123490" w:rsidRDefault="00123490" w:rsidP="00123490">
    <w:pPr>
      <w:pStyle w:val="Encabezado"/>
      <w:ind w:left="7799"/>
    </w:pPr>
    <w:r>
      <w:rPr>
        <w:noProof/>
        <w:lang w:val="es-CO" w:eastAsia="es-CO"/>
      </w:rPr>
      <w:drawing>
        <wp:inline distT="0" distB="0" distL="0" distR="0" wp14:anchorId="5F029821" wp14:editId="01931C7C">
          <wp:extent cx="1597025" cy="713105"/>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7025" cy="71310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36A93"/>
    <w:multiLevelType w:val="hybridMultilevel"/>
    <w:tmpl w:val="F3E2E1FC"/>
    <w:lvl w:ilvl="0" w:tplc="1A465C6E">
      <w:start w:val="1"/>
      <w:numFmt w:val="decimal"/>
      <w:lvlText w:val="%1."/>
      <w:lvlJc w:val="left"/>
      <w:pPr>
        <w:tabs>
          <w:tab w:val="num" w:pos="720"/>
        </w:tabs>
        <w:ind w:left="720" w:hanging="360"/>
      </w:pPr>
      <w:rPr>
        <w:rFonts w:hint="default"/>
        <w:color w:val="000000" w:themeColor="text1"/>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15:restartNumberingAfterBreak="0">
    <w:nsid w:val="33271231"/>
    <w:multiLevelType w:val="hybridMultilevel"/>
    <w:tmpl w:val="A4BEC0F2"/>
    <w:lvl w:ilvl="0" w:tplc="786C252C">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2" w15:restartNumberingAfterBreak="0">
    <w:nsid w:val="474F5E70"/>
    <w:multiLevelType w:val="hybridMultilevel"/>
    <w:tmpl w:val="C0C261D8"/>
    <w:lvl w:ilvl="0" w:tplc="786C252C">
      <w:start w:val="1"/>
      <w:numFmt w:val="bullet"/>
      <w:lvlText w:val=""/>
      <w:lvlJc w:val="left"/>
      <w:pPr>
        <w:ind w:left="720" w:hanging="360"/>
      </w:pPr>
      <w:rPr>
        <w:rFonts w:ascii="Symbol" w:hAnsi="Symbol" w:hint="default"/>
        <w:color w:val="00A9C4"/>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8DD7EA9"/>
    <w:multiLevelType w:val="hybridMultilevel"/>
    <w:tmpl w:val="17AEB3C6"/>
    <w:lvl w:ilvl="0" w:tplc="2CD09E5A">
      <w:start w:val="1"/>
      <w:numFmt w:val="decimal"/>
      <w:lvlText w:val="%1."/>
      <w:lvlJc w:val="left"/>
      <w:pPr>
        <w:tabs>
          <w:tab w:val="num" w:pos="360"/>
        </w:tabs>
        <w:ind w:left="360" w:hanging="360"/>
      </w:pPr>
      <w:rPr>
        <w:rFonts w:hint="default"/>
        <w:b/>
        <w:i w:val="0"/>
        <w:color w:val="00A9C4"/>
        <w:sz w:val="28"/>
        <w:szCs w:val="28"/>
      </w:rPr>
    </w:lvl>
    <w:lvl w:ilvl="1" w:tplc="0C0A0001">
      <w:start w:val="1"/>
      <w:numFmt w:val="bullet"/>
      <w:lvlText w:val=""/>
      <w:lvlJc w:val="left"/>
      <w:pPr>
        <w:tabs>
          <w:tab w:val="num" w:pos="1080"/>
        </w:tabs>
        <w:ind w:left="1080" w:hanging="360"/>
      </w:pPr>
      <w:rPr>
        <w:rFonts w:ascii="Symbol" w:hAnsi="Symbol" w:hint="default"/>
      </w:rPr>
    </w:lvl>
    <w:lvl w:ilvl="2" w:tplc="91D4FEC0">
      <w:start w:val="221"/>
      <w:numFmt w:val="decimal"/>
      <w:lvlText w:val="%3"/>
      <w:lvlJc w:val="left"/>
      <w:pPr>
        <w:tabs>
          <w:tab w:val="num" w:pos="2190"/>
        </w:tabs>
        <w:ind w:left="2190" w:hanging="570"/>
      </w:pPr>
      <w:rPr>
        <w:rFonts w:hint="default"/>
      </w:rPr>
    </w:lvl>
    <w:lvl w:ilvl="3" w:tplc="7396DBD8">
      <w:start w:val="1"/>
      <w:numFmt w:val="lowerLetter"/>
      <w:lvlText w:val="%4)"/>
      <w:lvlJc w:val="left"/>
      <w:pPr>
        <w:tabs>
          <w:tab w:val="num" w:pos="2520"/>
        </w:tabs>
        <w:ind w:left="2520" w:hanging="360"/>
      </w:pPr>
      <w:rPr>
        <w:rFonts w:hint="default"/>
      </w:r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4" w15:restartNumberingAfterBreak="0">
    <w:nsid w:val="509A7A2E"/>
    <w:multiLevelType w:val="hybridMultilevel"/>
    <w:tmpl w:val="188E7282"/>
    <w:lvl w:ilvl="0" w:tplc="427C1098">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5" w15:restartNumberingAfterBreak="0">
    <w:nsid w:val="54BB5619"/>
    <w:multiLevelType w:val="hybridMultilevel"/>
    <w:tmpl w:val="646A8D98"/>
    <w:lvl w:ilvl="0" w:tplc="96F81A86">
      <w:start w:val="1"/>
      <w:numFmt w:val="bullet"/>
      <w:lvlText w:val=""/>
      <w:lvlJc w:val="left"/>
      <w:pPr>
        <w:ind w:left="2270" w:hanging="360"/>
      </w:pPr>
      <w:rPr>
        <w:rFonts w:ascii="Wingdings" w:hAnsi="Wingdings" w:hint="default"/>
        <w:color w:val="00A9C4"/>
      </w:rPr>
    </w:lvl>
    <w:lvl w:ilvl="1" w:tplc="240A0003" w:tentative="1">
      <w:start w:val="1"/>
      <w:numFmt w:val="bullet"/>
      <w:lvlText w:val="o"/>
      <w:lvlJc w:val="left"/>
      <w:pPr>
        <w:ind w:left="2990" w:hanging="360"/>
      </w:pPr>
      <w:rPr>
        <w:rFonts w:ascii="Courier New" w:hAnsi="Courier New" w:cs="Courier New" w:hint="default"/>
      </w:rPr>
    </w:lvl>
    <w:lvl w:ilvl="2" w:tplc="240A0005" w:tentative="1">
      <w:start w:val="1"/>
      <w:numFmt w:val="bullet"/>
      <w:lvlText w:val=""/>
      <w:lvlJc w:val="left"/>
      <w:pPr>
        <w:ind w:left="3710" w:hanging="360"/>
      </w:pPr>
      <w:rPr>
        <w:rFonts w:ascii="Wingdings" w:hAnsi="Wingdings" w:hint="default"/>
      </w:rPr>
    </w:lvl>
    <w:lvl w:ilvl="3" w:tplc="240A0001" w:tentative="1">
      <w:start w:val="1"/>
      <w:numFmt w:val="bullet"/>
      <w:lvlText w:val=""/>
      <w:lvlJc w:val="left"/>
      <w:pPr>
        <w:ind w:left="4430" w:hanging="360"/>
      </w:pPr>
      <w:rPr>
        <w:rFonts w:ascii="Symbol" w:hAnsi="Symbol" w:hint="default"/>
      </w:rPr>
    </w:lvl>
    <w:lvl w:ilvl="4" w:tplc="240A0003" w:tentative="1">
      <w:start w:val="1"/>
      <w:numFmt w:val="bullet"/>
      <w:lvlText w:val="o"/>
      <w:lvlJc w:val="left"/>
      <w:pPr>
        <w:ind w:left="5150" w:hanging="360"/>
      </w:pPr>
      <w:rPr>
        <w:rFonts w:ascii="Courier New" w:hAnsi="Courier New" w:cs="Courier New" w:hint="default"/>
      </w:rPr>
    </w:lvl>
    <w:lvl w:ilvl="5" w:tplc="240A0005" w:tentative="1">
      <w:start w:val="1"/>
      <w:numFmt w:val="bullet"/>
      <w:lvlText w:val=""/>
      <w:lvlJc w:val="left"/>
      <w:pPr>
        <w:ind w:left="5870" w:hanging="360"/>
      </w:pPr>
      <w:rPr>
        <w:rFonts w:ascii="Wingdings" w:hAnsi="Wingdings" w:hint="default"/>
      </w:rPr>
    </w:lvl>
    <w:lvl w:ilvl="6" w:tplc="240A0001" w:tentative="1">
      <w:start w:val="1"/>
      <w:numFmt w:val="bullet"/>
      <w:lvlText w:val=""/>
      <w:lvlJc w:val="left"/>
      <w:pPr>
        <w:ind w:left="6590" w:hanging="360"/>
      </w:pPr>
      <w:rPr>
        <w:rFonts w:ascii="Symbol" w:hAnsi="Symbol" w:hint="default"/>
      </w:rPr>
    </w:lvl>
    <w:lvl w:ilvl="7" w:tplc="240A0003" w:tentative="1">
      <w:start w:val="1"/>
      <w:numFmt w:val="bullet"/>
      <w:lvlText w:val="o"/>
      <w:lvlJc w:val="left"/>
      <w:pPr>
        <w:ind w:left="7310" w:hanging="360"/>
      </w:pPr>
      <w:rPr>
        <w:rFonts w:ascii="Courier New" w:hAnsi="Courier New" w:cs="Courier New" w:hint="default"/>
      </w:rPr>
    </w:lvl>
    <w:lvl w:ilvl="8" w:tplc="240A0005" w:tentative="1">
      <w:start w:val="1"/>
      <w:numFmt w:val="bullet"/>
      <w:lvlText w:val=""/>
      <w:lvlJc w:val="left"/>
      <w:pPr>
        <w:ind w:left="8030" w:hanging="360"/>
      </w:pPr>
      <w:rPr>
        <w:rFonts w:ascii="Wingdings" w:hAnsi="Wingdings" w:hint="default"/>
      </w:rPr>
    </w:lvl>
  </w:abstractNum>
  <w:abstractNum w:abstractNumId="6" w15:restartNumberingAfterBreak="0">
    <w:nsid w:val="58BC7A21"/>
    <w:multiLevelType w:val="hybridMultilevel"/>
    <w:tmpl w:val="E45C43DE"/>
    <w:lvl w:ilvl="0" w:tplc="E85E0A84">
      <w:start w:val="1"/>
      <w:numFmt w:val="bullet"/>
      <w:lvlText w:val=""/>
      <w:lvlJc w:val="left"/>
      <w:pPr>
        <w:ind w:left="1550" w:hanging="360"/>
      </w:pPr>
      <w:rPr>
        <w:rFonts w:ascii="Symbol" w:hAnsi="Symbol" w:hint="default"/>
        <w:color w:val="00A9C4"/>
      </w:rPr>
    </w:lvl>
    <w:lvl w:ilvl="1" w:tplc="240A0003" w:tentative="1">
      <w:start w:val="1"/>
      <w:numFmt w:val="bullet"/>
      <w:lvlText w:val="o"/>
      <w:lvlJc w:val="left"/>
      <w:pPr>
        <w:ind w:left="2270" w:hanging="360"/>
      </w:pPr>
      <w:rPr>
        <w:rFonts w:ascii="Courier New" w:hAnsi="Courier New" w:cs="Courier New" w:hint="default"/>
      </w:rPr>
    </w:lvl>
    <w:lvl w:ilvl="2" w:tplc="240A0005" w:tentative="1">
      <w:start w:val="1"/>
      <w:numFmt w:val="bullet"/>
      <w:lvlText w:val=""/>
      <w:lvlJc w:val="left"/>
      <w:pPr>
        <w:ind w:left="2990" w:hanging="360"/>
      </w:pPr>
      <w:rPr>
        <w:rFonts w:ascii="Wingdings" w:hAnsi="Wingdings" w:hint="default"/>
      </w:rPr>
    </w:lvl>
    <w:lvl w:ilvl="3" w:tplc="240A0001" w:tentative="1">
      <w:start w:val="1"/>
      <w:numFmt w:val="bullet"/>
      <w:lvlText w:val=""/>
      <w:lvlJc w:val="left"/>
      <w:pPr>
        <w:ind w:left="3710" w:hanging="360"/>
      </w:pPr>
      <w:rPr>
        <w:rFonts w:ascii="Symbol" w:hAnsi="Symbol" w:hint="default"/>
      </w:rPr>
    </w:lvl>
    <w:lvl w:ilvl="4" w:tplc="240A0003" w:tentative="1">
      <w:start w:val="1"/>
      <w:numFmt w:val="bullet"/>
      <w:lvlText w:val="o"/>
      <w:lvlJc w:val="left"/>
      <w:pPr>
        <w:ind w:left="4430" w:hanging="360"/>
      </w:pPr>
      <w:rPr>
        <w:rFonts w:ascii="Courier New" w:hAnsi="Courier New" w:cs="Courier New" w:hint="default"/>
      </w:rPr>
    </w:lvl>
    <w:lvl w:ilvl="5" w:tplc="240A0005" w:tentative="1">
      <w:start w:val="1"/>
      <w:numFmt w:val="bullet"/>
      <w:lvlText w:val=""/>
      <w:lvlJc w:val="left"/>
      <w:pPr>
        <w:ind w:left="5150" w:hanging="360"/>
      </w:pPr>
      <w:rPr>
        <w:rFonts w:ascii="Wingdings" w:hAnsi="Wingdings" w:hint="default"/>
      </w:rPr>
    </w:lvl>
    <w:lvl w:ilvl="6" w:tplc="240A0001" w:tentative="1">
      <w:start w:val="1"/>
      <w:numFmt w:val="bullet"/>
      <w:lvlText w:val=""/>
      <w:lvlJc w:val="left"/>
      <w:pPr>
        <w:ind w:left="5870" w:hanging="360"/>
      </w:pPr>
      <w:rPr>
        <w:rFonts w:ascii="Symbol" w:hAnsi="Symbol" w:hint="default"/>
      </w:rPr>
    </w:lvl>
    <w:lvl w:ilvl="7" w:tplc="240A0003" w:tentative="1">
      <w:start w:val="1"/>
      <w:numFmt w:val="bullet"/>
      <w:lvlText w:val="o"/>
      <w:lvlJc w:val="left"/>
      <w:pPr>
        <w:ind w:left="6590" w:hanging="360"/>
      </w:pPr>
      <w:rPr>
        <w:rFonts w:ascii="Courier New" w:hAnsi="Courier New" w:cs="Courier New" w:hint="default"/>
      </w:rPr>
    </w:lvl>
    <w:lvl w:ilvl="8" w:tplc="240A0005" w:tentative="1">
      <w:start w:val="1"/>
      <w:numFmt w:val="bullet"/>
      <w:lvlText w:val=""/>
      <w:lvlJc w:val="left"/>
      <w:pPr>
        <w:ind w:left="7310" w:hanging="360"/>
      </w:pPr>
      <w:rPr>
        <w:rFonts w:ascii="Wingdings" w:hAnsi="Wingdings" w:hint="default"/>
      </w:rPr>
    </w:lvl>
  </w:abstractNum>
  <w:abstractNum w:abstractNumId="7" w15:restartNumberingAfterBreak="0">
    <w:nsid w:val="76043AF8"/>
    <w:multiLevelType w:val="hybridMultilevel"/>
    <w:tmpl w:val="AF32BC2C"/>
    <w:lvl w:ilvl="0" w:tplc="DB04AC4E">
      <w:start w:val="1"/>
      <w:numFmt w:val="decimal"/>
      <w:lvlText w:val="%1."/>
      <w:lvlJc w:val="left"/>
      <w:pPr>
        <w:ind w:left="720" w:hanging="360"/>
      </w:pPr>
      <w:rPr>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762338059">
    <w:abstractNumId w:val="3"/>
  </w:num>
  <w:num w:numId="2" w16cid:durableId="1259488926">
    <w:abstractNumId w:val="1"/>
  </w:num>
  <w:num w:numId="3" w16cid:durableId="1953241034">
    <w:abstractNumId w:val="6"/>
  </w:num>
  <w:num w:numId="4" w16cid:durableId="1226337823">
    <w:abstractNumId w:val="4"/>
  </w:num>
  <w:num w:numId="5" w16cid:durableId="737822516">
    <w:abstractNumId w:val="5"/>
  </w:num>
  <w:num w:numId="6" w16cid:durableId="1207717059">
    <w:abstractNumId w:val="2"/>
  </w:num>
  <w:num w:numId="7" w16cid:durableId="581642107">
    <w:abstractNumId w:val="0"/>
  </w:num>
  <w:num w:numId="8" w16cid:durableId="17382422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FC"/>
    <w:rsid w:val="00025B9D"/>
    <w:rsid w:val="00034435"/>
    <w:rsid w:val="00056D4F"/>
    <w:rsid w:val="000600F8"/>
    <w:rsid w:val="000717D4"/>
    <w:rsid w:val="00072C40"/>
    <w:rsid w:val="000739EA"/>
    <w:rsid w:val="000770E1"/>
    <w:rsid w:val="0008349A"/>
    <w:rsid w:val="0008494C"/>
    <w:rsid w:val="00085174"/>
    <w:rsid w:val="00096EC9"/>
    <w:rsid w:val="000A3121"/>
    <w:rsid w:val="000B3D56"/>
    <w:rsid w:val="000C3A8A"/>
    <w:rsid w:val="000C6AB4"/>
    <w:rsid w:val="000C7BCE"/>
    <w:rsid w:val="000C7D3F"/>
    <w:rsid w:val="000D57E9"/>
    <w:rsid w:val="000D689B"/>
    <w:rsid w:val="000F3872"/>
    <w:rsid w:val="00104B06"/>
    <w:rsid w:val="001106AA"/>
    <w:rsid w:val="00114027"/>
    <w:rsid w:val="00123490"/>
    <w:rsid w:val="00124D0A"/>
    <w:rsid w:val="001462F9"/>
    <w:rsid w:val="00175BDC"/>
    <w:rsid w:val="00181B3E"/>
    <w:rsid w:val="00190A41"/>
    <w:rsid w:val="001910F4"/>
    <w:rsid w:val="00194BB4"/>
    <w:rsid w:val="001B4C57"/>
    <w:rsid w:val="001D1873"/>
    <w:rsid w:val="001D6D69"/>
    <w:rsid w:val="001E08EC"/>
    <w:rsid w:val="001E7B30"/>
    <w:rsid w:val="001F166E"/>
    <w:rsid w:val="001F1F1E"/>
    <w:rsid w:val="001F5309"/>
    <w:rsid w:val="00213DD0"/>
    <w:rsid w:val="00226A5D"/>
    <w:rsid w:val="00257979"/>
    <w:rsid w:val="00265558"/>
    <w:rsid w:val="002831AC"/>
    <w:rsid w:val="00290CC9"/>
    <w:rsid w:val="002B0551"/>
    <w:rsid w:val="002B06E1"/>
    <w:rsid w:val="002C403B"/>
    <w:rsid w:val="00316C03"/>
    <w:rsid w:val="00321B19"/>
    <w:rsid w:val="003337CD"/>
    <w:rsid w:val="00345B61"/>
    <w:rsid w:val="00357C55"/>
    <w:rsid w:val="00360818"/>
    <w:rsid w:val="00377279"/>
    <w:rsid w:val="00392B3C"/>
    <w:rsid w:val="003A22BF"/>
    <w:rsid w:val="003A5FD7"/>
    <w:rsid w:val="003A722A"/>
    <w:rsid w:val="003E336D"/>
    <w:rsid w:val="003F5829"/>
    <w:rsid w:val="004151A5"/>
    <w:rsid w:val="00437DD8"/>
    <w:rsid w:val="004540AD"/>
    <w:rsid w:val="00456E2B"/>
    <w:rsid w:val="00467546"/>
    <w:rsid w:val="00472D76"/>
    <w:rsid w:val="00482FDC"/>
    <w:rsid w:val="00485FD0"/>
    <w:rsid w:val="004917D9"/>
    <w:rsid w:val="004A4D19"/>
    <w:rsid w:val="004B3724"/>
    <w:rsid w:val="004F6438"/>
    <w:rsid w:val="00522A74"/>
    <w:rsid w:val="00523A2B"/>
    <w:rsid w:val="00523C07"/>
    <w:rsid w:val="00540E94"/>
    <w:rsid w:val="00541090"/>
    <w:rsid w:val="00543BA9"/>
    <w:rsid w:val="0055743B"/>
    <w:rsid w:val="00561B01"/>
    <w:rsid w:val="00567DBA"/>
    <w:rsid w:val="005732CB"/>
    <w:rsid w:val="005854DC"/>
    <w:rsid w:val="00586626"/>
    <w:rsid w:val="005B0CAB"/>
    <w:rsid w:val="005B10C3"/>
    <w:rsid w:val="005B7A54"/>
    <w:rsid w:val="005D3DE4"/>
    <w:rsid w:val="005D3E47"/>
    <w:rsid w:val="005E2AE2"/>
    <w:rsid w:val="005F10C0"/>
    <w:rsid w:val="005F574A"/>
    <w:rsid w:val="005F79DC"/>
    <w:rsid w:val="0064180D"/>
    <w:rsid w:val="00645F30"/>
    <w:rsid w:val="006460FF"/>
    <w:rsid w:val="00647F4C"/>
    <w:rsid w:val="00661A11"/>
    <w:rsid w:val="00666FC1"/>
    <w:rsid w:val="006671B2"/>
    <w:rsid w:val="0069714D"/>
    <w:rsid w:val="006A457B"/>
    <w:rsid w:val="006A5722"/>
    <w:rsid w:val="006E52C4"/>
    <w:rsid w:val="006F23CD"/>
    <w:rsid w:val="006F3AB4"/>
    <w:rsid w:val="006F54FC"/>
    <w:rsid w:val="006F7F28"/>
    <w:rsid w:val="007126C1"/>
    <w:rsid w:val="00713D20"/>
    <w:rsid w:val="00723CF1"/>
    <w:rsid w:val="00766A40"/>
    <w:rsid w:val="00777209"/>
    <w:rsid w:val="0078502D"/>
    <w:rsid w:val="0079409B"/>
    <w:rsid w:val="007A0CA8"/>
    <w:rsid w:val="007A5FE9"/>
    <w:rsid w:val="007A6A14"/>
    <w:rsid w:val="007B33AC"/>
    <w:rsid w:val="007D05C9"/>
    <w:rsid w:val="007D201A"/>
    <w:rsid w:val="007E2606"/>
    <w:rsid w:val="0082290E"/>
    <w:rsid w:val="008327BC"/>
    <w:rsid w:val="00832EA0"/>
    <w:rsid w:val="008349EE"/>
    <w:rsid w:val="00845127"/>
    <w:rsid w:val="00846A81"/>
    <w:rsid w:val="008511A6"/>
    <w:rsid w:val="00856339"/>
    <w:rsid w:val="008703A9"/>
    <w:rsid w:val="00873D50"/>
    <w:rsid w:val="008818A1"/>
    <w:rsid w:val="008B1B42"/>
    <w:rsid w:val="008B4659"/>
    <w:rsid w:val="008B48E7"/>
    <w:rsid w:val="008C1512"/>
    <w:rsid w:val="008C46D0"/>
    <w:rsid w:val="008D1F05"/>
    <w:rsid w:val="008E6E74"/>
    <w:rsid w:val="009146FE"/>
    <w:rsid w:val="00914E80"/>
    <w:rsid w:val="009273FD"/>
    <w:rsid w:val="00930B38"/>
    <w:rsid w:val="00943CAE"/>
    <w:rsid w:val="0094640C"/>
    <w:rsid w:val="0095692F"/>
    <w:rsid w:val="00963ADC"/>
    <w:rsid w:val="0097094E"/>
    <w:rsid w:val="00981409"/>
    <w:rsid w:val="00985422"/>
    <w:rsid w:val="00996307"/>
    <w:rsid w:val="009A1F4B"/>
    <w:rsid w:val="009A5DA9"/>
    <w:rsid w:val="009B0B79"/>
    <w:rsid w:val="009B2847"/>
    <w:rsid w:val="009F47E4"/>
    <w:rsid w:val="00A02935"/>
    <w:rsid w:val="00A106EB"/>
    <w:rsid w:val="00A43ADD"/>
    <w:rsid w:val="00A73E54"/>
    <w:rsid w:val="00A806AE"/>
    <w:rsid w:val="00A82620"/>
    <w:rsid w:val="00AA5BD1"/>
    <w:rsid w:val="00AC2BDF"/>
    <w:rsid w:val="00AC3DA3"/>
    <w:rsid w:val="00AD1C48"/>
    <w:rsid w:val="00AF00F0"/>
    <w:rsid w:val="00AF306F"/>
    <w:rsid w:val="00B05BF1"/>
    <w:rsid w:val="00B061EB"/>
    <w:rsid w:val="00B12172"/>
    <w:rsid w:val="00B16BFC"/>
    <w:rsid w:val="00B20789"/>
    <w:rsid w:val="00B45AB0"/>
    <w:rsid w:val="00B45E7C"/>
    <w:rsid w:val="00B7166C"/>
    <w:rsid w:val="00B71EEE"/>
    <w:rsid w:val="00B77956"/>
    <w:rsid w:val="00B83D44"/>
    <w:rsid w:val="00B92888"/>
    <w:rsid w:val="00B95D8E"/>
    <w:rsid w:val="00BA26E7"/>
    <w:rsid w:val="00BA585D"/>
    <w:rsid w:val="00BB0821"/>
    <w:rsid w:val="00BB4CAD"/>
    <w:rsid w:val="00BB7981"/>
    <w:rsid w:val="00BC0233"/>
    <w:rsid w:val="00BC174C"/>
    <w:rsid w:val="00BE54A2"/>
    <w:rsid w:val="00BF0C61"/>
    <w:rsid w:val="00C129FC"/>
    <w:rsid w:val="00C3339B"/>
    <w:rsid w:val="00C61A58"/>
    <w:rsid w:val="00C66151"/>
    <w:rsid w:val="00C72F86"/>
    <w:rsid w:val="00CA3CA7"/>
    <w:rsid w:val="00CA42B9"/>
    <w:rsid w:val="00CA5BFA"/>
    <w:rsid w:val="00CC519B"/>
    <w:rsid w:val="00CD19D9"/>
    <w:rsid w:val="00CF41C0"/>
    <w:rsid w:val="00D17E61"/>
    <w:rsid w:val="00D2546B"/>
    <w:rsid w:val="00D315EE"/>
    <w:rsid w:val="00D6282A"/>
    <w:rsid w:val="00D66A9A"/>
    <w:rsid w:val="00D83832"/>
    <w:rsid w:val="00DC66D6"/>
    <w:rsid w:val="00DD4C51"/>
    <w:rsid w:val="00DE6FFC"/>
    <w:rsid w:val="00DF4C7C"/>
    <w:rsid w:val="00E320F9"/>
    <w:rsid w:val="00E46D70"/>
    <w:rsid w:val="00E519C5"/>
    <w:rsid w:val="00E62AC1"/>
    <w:rsid w:val="00E850EF"/>
    <w:rsid w:val="00EA446E"/>
    <w:rsid w:val="00EA66B3"/>
    <w:rsid w:val="00EB13FC"/>
    <w:rsid w:val="00EB1917"/>
    <w:rsid w:val="00EB5AB5"/>
    <w:rsid w:val="00EC74E0"/>
    <w:rsid w:val="00ED5269"/>
    <w:rsid w:val="00F14231"/>
    <w:rsid w:val="00F1534D"/>
    <w:rsid w:val="00F2711E"/>
    <w:rsid w:val="00F27E79"/>
    <w:rsid w:val="00F56403"/>
    <w:rsid w:val="00F77EB0"/>
    <w:rsid w:val="00F812C2"/>
    <w:rsid w:val="00F84D56"/>
    <w:rsid w:val="00F87D32"/>
    <w:rsid w:val="00F90842"/>
    <w:rsid w:val="00F93074"/>
    <w:rsid w:val="00F961EE"/>
    <w:rsid w:val="00F977CE"/>
    <w:rsid w:val="00FA5FBA"/>
    <w:rsid w:val="00FB4BBE"/>
    <w:rsid w:val="00FB78AD"/>
    <w:rsid w:val="00FB7FCE"/>
    <w:rsid w:val="00FD0701"/>
    <w:rsid w:val="00FF667B"/>
  </w:rsids>
  <m:mathPr>
    <m:mathFont m:val="Cambria Math"/>
    <m:brkBin m:val="before"/>
    <m:brkBinSub m:val="--"/>
    <m:smallFrac m:val="0"/>
    <m:dispDef/>
    <m:lMargin m:val="0"/>
    <m:rMargin m:val="0"/>
    <m:defJc m:val="centerGroup"/>
    <m:wrapIndent m:val="1440"/>
    <m:intLim m:val="subSup"/>
    <m:naryLim m:val="undOvr"/>
  </m:mathPr>
  <w:themeFontLang w:val="es-ES_tradnl"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0285B"/>
  <w14:defaultImageDpi w14:val="32767"/>
  <w15:chartTrackingRefBased/>
  <w15:docId w15:val="{D100A789-BE0A-414D-BB5C-AAF54AA4C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s-ES_tradnl"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279"/>
  </w:style>
  <w:style w:type="paragraph" w:styleId="Ttulo1">
    <w:name w:val="heading 1"/>
    <w:basedOn w:val="Normal"/>
    <w:next w:val="Normal"/>
    <w:link w:val="Ttulo1Car"/>
    <w:qFormat/>
    <w:rsid w:val="007A5FE9"/>
    <w:pPr>
      <w:keepNext/>
      <w:outlineLvl w:val="0"/>
    </w:pPr>
    <w:rPr>
      <w:rFonts w:ascii="Arial" w:eastAsia="Times New Roman" w:hAnsi="Arial" w:cs="Arial"/>
      <w:b/>
      <w:bCs/>
      <w:color w:val="00000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B13FC"/>
    <w:pPr>
      <w:tabs>
        <w:tab w:val="center" w:pos="4419"/>
        <w:tab w:val="right" w:pos="8838"/>
      </w:tabs>
    </w:pPr>
  </w:style>
  <w:style w:type="character" w:customStyle="1" w:styleId="EncabezadoCar">
    <w:name w:val="Encabezado Car"/>
    <w:basedOn w:val="Fuentedeprrafopredeter"/>
    <w:link w:val="Encabezado"/>
    <w:uiPriority w:val="99"/>
    <w:rsid w:val="00EB13FC"/>
  </w:style>
  <w:style w:type="paragraph" w:styleId="Piedepgina">
    <w:name w:val="footer"/>
    <w:basedOn w:val="Normal"/>
    <w:link w:val="PiedepginaCar"/>
    <w:uiPriority w:val="99"/>
    <w:unhideWhenUsed/>
    <w:rsid w:val="00EB13FC"/>
    <w:pPr>
      <w:tabs>
        <w:tab w:val="center" w:pos="4419"/>
        <w:tab w:val="right" w:pos="8838"/>
      </w:tabs>
    </w:pPr>
  </w:style>
  <w:style w:type="character" w:customStyle="1" w:styleId="PiedepginaCar">
    <w:name w:val="Pie de página Car"/>
    <w:basedOn w:val="Fuentedeprrafopredeter"/>
    <w:link w:val="Piedepgina"/>
    <w:uiPriority w:val="99"/>
    <w:rsid w:val="00EB13FC"/>
  </w:style>
  <w:style w:type="paragraph" w:styleId="Textoindependiente">
    <w:name w:val="Body Text"/>
    <w:basedOn w:val="Normal"/>
    <w:link w:val="TextoindependienteCar"/>
    <w:rsid w:val="00377279"/>
    <w:rPr>
      <w:rFonts w:ascii="Arial" w:eastAsia="Times New Roman" w:hAnsi="Arial" w:cs="Times New Roman"/>
      <w:kern w:val="16"/>
      <w:szCs w:val="20"/>
      <w:lang w:val="es-CO" w:eastAsia="es-ES"/>
    </w:rPr>
  </w:style>
  <w:style w:type="character" w:customStyle="1" w:styleId="TextoindependienteCar">
    <w:name w:val="Texto independiente Car"/>
    <w:basedOn w:val="Fuentedeprrafopredeter"/>
    <w:link w:val="Textoindependiente"/>
    <w:rsid w:val="00377279"/>
    <w:rPr>
      <w:rFonts w:ascii="Arial" w:eastAsia="Times New Roman" w:hAnsi="Arial" w:cs="Times New Roman"/>
      <w:kern w:val="16"/>
      <w:szCs w:val="20"/>
      <w:lang w:val="es-CO" w:eastAsia="es-ES"/>
    </w:rPr>
  </w:style>
  <w:style w:type="paragraph" w:styleId="Prrafodelista">
    <w:name w:val="List Paragraph"/>
    <w:basedOn w:val="Normal"/>
    <w:uiPriority w:val="34"/>
    <w:qFormat/>
    <w:rsid w:val="009B0B79"/>
    <w:pPr>
      <w:ind w:left="720"/>
      <w:contextualSpacing/>
    </w:pPr>
  </w:style>
  <w:style w:type="character" w:styleId="Nmerodepgina">
    <w:name w:val="page number"/>
    <w:basedOn w:val="Fuentedeprrafopredeter"/>
    <w:uiPriority w:val="99"/>
    <w:semiHidden/>
    <w:unhideWhenUsed/>
    <w:rsid w:val="00586626"/>
  </w:style>
  <w:style w:type="paragraph" w:styleId="Sangradetextonormal">
    <w:name w:val="Body Text Indent"/>
    <w:basedOn w:val="Normal"/>
    <w:link w:val="SangradetextonormalCar"/>
    <w:uiPriority w:val="99"/>
    <w:unhideWhenUsed/>
    <w:rsid w:val="007A5FE9"/>
    <w:pPr>
      <w:spacing w:after="120"/>
      <w:ind w:left="283"/>
    </w:pPr>
  </w:style>
  <w:style w:type="character" w:customStyle="1" w:styleId="SangradetextonormalCar">
    <w:name w:val="Sangría de texto normal Car"/>
    <w:basedOn w:val="Fuentedeprrafopredeter"/>
    <w:link w:val="Sangradetextonormal"/>
    <w:uiPriority w:val="99"/>
    <w:rsid w:val="007A5FE9"/>
  </w:style>
  <w:style w:type="character" w:customStyle="1" w:styleId="Ttulo1Car">
    <w:name w:val="Título 1 Car"/>
    <w:basedOn w:val="Fuentedeprrafopredeter"/>
    <w:link w:val="Ttulo1"/>
    <w:rsid w:val="007A5FE9"/>
    <w:rPr>
      <w:rFonts w:ascii="Arial" w:eastAsia="Times New Roman" w:hAnsi="Arial" w:cs="Arial"/>
      <w:b/>
      <w:bCs/>
      <w:color w:val="000000"/>
      <w:szCs w:val="20"/>
      <w:lang w:val="es-ES" w:eastAsia="es-ES"/>
    </w:rPr>
  </w:style>
  <w:style w:type="paragraph" w:customStyle="1" w:styleId="Sangradetindependiente">
    <w:name w:val="Sangra de t. independiente"/>
    <w:basedOn w:val="Normal"/>
    <w:next w:val="Normal"/>
    <w:rsid w:val="007A5FE9"/>
    <w:pPr>
      <w:autoSpaceDE w:val="0"/>
      <w:autoSpaceDN w:val="0"/>
      <w:adjustRightInd w:val="0"/>
      <w:jc w:val="both"/>
    </w:pPr>
    <w:rPr>
      <w:rFonts w:ascii="Arial" w:eastAsia="Times New Roman" w:hAnsi="Arial" w:cs="Times New Roman"/>
      <w:sz w:val="20"/>
      <w:lang w:val="es-ES" w:eastAsia="es-ES"/>
    </w:rPr>
  </w:style>
  <w:style w:type="character" w:styleId="Hipervnculo">
    <w:name w:val="Hyperlink"/>
    <w:basedOn w:val="Fuentedeprrafopredeter"/>
    <w:uiPriority w:val="99"/>
    <w:unhideWhenUsed/>
    <w:rsid w:val="00645F30"/>
    <w:rPr>
      <w:color w:val="0563C1" w:themeColor="hyperlink"/>
      <w:u w:val="single"/>
    </w:rPr>
  </w:style>
  <w:style w:type="paragraph" w:customStyle="1" w:styleId="Default">
    <w:name w:val="Default"/>
    <w:rsid w:val="000770E1"/>
    <w:pPr>
      <w:autoSpaceDE w:val="0"/>
      <w:autoSpaceDN w:val="0"/>
      <w:adjustRightInd w:val="0"/>
    </w:pPr>
    <w:rPr>
      <w:rFonts w:ascii="Century Gothic" w:eastAsiaTheme="minorHAnsi" w:hAnsi="Century Gothic" w:cs="Century Gothic"/>
      <w:color w:val="000000"/>
      <w:lang w:val="es-CO" w:eastAsia="en-US"/>
    </w:rPr>
  </w:style>
  <w:style w:type="table" w:styleId="Tablaconcuadrcula2-nfasis5">
    <w:name w:val="Grid Table 2 Accent 5"/>
    <w:basedOn w:val="Tablanormal"/>
    <w:uiPriority w:val="47"/>
    <w:rsid w:val="000770E1"/>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
    <w:name w:val="Table Grid"/>
    <w:basedOn w:val="Tablanormal"/>
    <w:uiPriority w:val="39"/>
    <w:rsid w:val="008E6E74"/>
    <w:rPr>
      <w:rFonts w:eastAsiaTheme="minorHAns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B16BFC"/>
    <w:rPr>
      <w:color w:val="605E5C"/>
      <w:shd w:val="clear" w:color="auto" w:fill="E1DFDD"/>
    </w:rPr>
  </w:style>
  <w:style w:type="paragraph" w:styleId="Textonotapie">
    <w:name w:val="footnote text"/>
    <w:aliases w:val="Ref. de nota al pie1,Texto de nota al pie,Footnotes refss,Appel note de bas de page,referencia nota al pie,Footnote number,BVI fnr,Fago Fußnotenzeichen,Ref. de nota al pie 2,4_G,16 Point,Superscript 6 Point,Footnote symbol,Footnote,Ref,F"/>
    <w:basedOn w:val="Normal"/>
    <w:link w:val="TextonotapieCar"/>
    <w:uiPriority w:val="99"/>
    <w:unhideWhenUsed/>
    <w:qFormat/>
    <w:rsid w:val="009273FD"/>
    <w:rPr>
      <w:rFonts w:eastAsiaTheme="minorHAnsi"/>
      <w:kern w:val="2"/>
      <w:sz w:val="20"/>
      <w:szCs w:val="20"/>
      <w:lang w:val="es-CO" w:eastAsia="en-US"/>
      <w14:ligatures w14:val="standardContextual"/>
    </w:rPr>
  </w:style>
  <w:style w:type="character" w:customStyle="1" w:styleId="TextonotapieCar">
    <w:name w:val="Texto nota pie Car"/>
    <w:aliases w:val="Ref. de nota al pie1 Car,Texto de nota al pie Car,Footnotes refss Car,Appel note de bas de page Car,referencia nota al pie Car,Footnote number Car,BVI fnr Car,Fago Fußnotenzeichen Car,Ref. de nota al pie 2 Car,4_G Car,16 Point Car"/>
    <w:basedOn w:val="Fuentedeprrafopredeter"/>
    <w:link w:val="Textonotapie"/>
    <w:uiPriority w:val="99"/>
    <w:rsid w:val="009273FD"/>
    <w:rPr>
      <w:rFonts w:eastAsiaTheme="minorHAnsi"/>
      <w:kern w:val="2"/>
      <w:sz w:val="20"/>
      <w:szCs w:val="20"/>
      <w:lang w:val="es-CO" w:eastAsia="en-US"/>
      <w14:ligatures w14:val="standardContextual"/>
    </w:rPr>
  </w:style>
  <w:style w:type="character" w:styleId="Refdenotaalpie">
    <w:name w:val="footnote reference"/>
    <w:basedOn w:val="Fuentedeprrafopredeter"/>
    <w:uiPriority w:val="99"/>
    <w:semiHidden/>
    <w:unhideWhenUsed/>
    <w:rsid w:val="009273F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7210368">
      <w:bodyDiv w:val="1"/>
      <w:marLeft w:val="0"/>
      <w:marRight w:val="0"/>
      <w:marTop w:val="0"/>
      <w:marBottom w:val="0"/>
      <w:divBdr>
        <w:top w:val="none" w:sz="0" w:space="0" w:color="auto"/>
        <w:left w:val="none" w:sz="0" w:space="0" w:color="auto"/>
        <w:bottom w:val="none" w:sz="0" w:space="0" w:color="auto"/>
        <w:right w:val="none" w:sz="0" w:space="0" w:color="auto"/>
      </w:divBdr>
    </w:div>
    <w:div w:id="923338164">
      <w:bodyDiv w:val="1"/>
      <w:marLeft w:val="0"/>
      <w:marRight w:val="0"/>
      <w:marTop w:val="0"/>
      <w:marBottom w:val="0"/>
      <w:divBdr>
        <w:top w:val="none" w:sz="0" w:space="0" w:color="auto"/>
        <w:left w:val="none" w:sz="0" w:space="0" w:color="auto"/>
        <w:bottom w:val="none" w:sz="0" w:space="0" w:color="auto"/>
        <w:right w:val="none" w:sz="0" w:space="0" w:color="auto"/>
      </w:divBdr>
    </w:div>
    <w:div w:id="1041442368">
      <w:bodyDiv w:val="1"/>
      <w:marLeft w:val="0"/>
      <w:marRight w:val="0"/>
      <w:marTop w:val="0"/>
      <w:marBottom w:val="0"/>
      <w:divBdr>
        <w:top w:val="none" w:sz="0" w:space="0" w:color="auto"/>
        <w:left w:val="none" w:sz="0" w:space="0" w:color="auto"/>
        <w:bottom w:val="none" w:sz="0" w:space="0" w:color="auto"/>
        <w:right w:val="none" w:sz="0" w:space="0" w:color="auto"/>
      </w:divBdr>
    </w:div>
    <w:div w:id="136512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hyperlink" Target="mailto:notificacionesjudiciales@suramericana.com.co"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segurossura.com.co/paginas/legal/certificados-existencia-y-representacion-compania.aspx"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dres.gov.co/lupa-al-giro/presupuestos-maximos" TargetMode="External"/><Relationship Id="rId22"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adres.gov.co/lupa-al-giro/presupuestos-maximo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18a3ac74-7938-463d-abdb-5c2afb1f1c8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BE3CFD91BA52247908F1AC0D75C4420" ma:contentTypeVersion="17" ma:contentTypeDescription="Create a new document." ma:contentTypeScope="" ma:versionID="347ee91e91a63358c1143653889f52df">
  <xsd:schema xmlns:xsd="http://www.w3.org/2001/XMLSchema" xmlns:xs="http://www.w3.org/2001/XMLSchema" xmlns:p="http://schemas.microsoft.com/office/2006/metadata/properties" xmlns:ns1="http://schemas.microsoft.com/sharepoint/v3" xmlns:ns3="18a3ac74-7938-463d-abdb-5c2afb1f1c8e" xmlns:ns4="9d54adc0-ed5f-42c7-81d8-b2bac821c9f3" targetNamespace="http://schemas.microsoft.com/office/2006/metadata/properties" ma:root="true" ma:fieldsID="da38676cda901bc52421b3c884e9c681" ns1:_="" ns3:_="" ns4:_="">
    <xsd:import namespace="http://schemas.microsoft.com/sharepoint/v3"/>
    <xsd:import namespace="18a3ac74-7938-463d-abdb-5c2afb1f1c8e"/>
    <xsd:import namespace="9d54adc0-ed5f-42c7-81d8-b2bac821c9f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GenerationTime" minOccurs="0"/>
                <xsd:element ref="ns3:MediaServiceEventHashCode" minOccurs="0"/>
                <xsd:element ref="ns3:MediaServiceDateTaken" minOccurs="0"/>
                <xsd:element ref="ns3:MediaServiceLocation" minOccurs="0"/>
                <xsd:element ref="ns3:MediaServiceAutoKeyPoints" minOccurs="0"/>
                <xsd:element ref="ns3:MediaServiceKeyPoints"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5" nillable="true" ma:displayName="Unified Compliance Policy Properties" ma:hidden="true" ma:internalName="_ip_UnifiedCompliancePolicyProperties">
      <xsd:simpleType>
        <xsd:restriction base="dms:Note"/>
      </xsd:simpleType>
    </xsd:element>
    <xsd:element name="_ip_UnifiedCompliancePolicyUIAction" ma:index="1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8a3ac74-7938-463d-abdb-5c2afb1f1c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_activity" ma:index="24"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d54adc0-ed5f-42c7-81d8-b2bac821c9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F32A7D-36A8-4F7E-BEB8-D289C7BD6C52}">
  <ds:schemaRefs>
    <ds:schemaRef ds:uri="http://schemas.openxmlformats.org/officeDocument/2006/bibliography"/>
  </ds:schemaRefs>
</ds:datastoreItem>
</file>

<file path=customXml/itemProps2.xml><?xml version="1.0" encoding="utf-8"?>
<ds:datastoreItem xmlns:ds="http://schemas.openxmlformats.org/officeDocument/2006/customXml" ds:itemID="{624B2F70-25A5-469C-B793-2A3C5CF577FA}">
  <ds:schemaRefs>
    <ds:schemaRef ds:uri="http://schemas.microsoft.com/office/2006/metadata/properties"/>
    <ds:schemaRef ds:uri="http://schemas.microsoft.com/office/infopath/2007/PartnerControls"/>
    <ds:schemaRef ds:uri="http://schemas.microsoft.com/sharepoint/v3"/>
    <ds:schemaRef ds:uri="18a3ac74-7938-463d-abdb-5c2afb1f1c8e"/>
  </ds:schemaRefs>
</ds:datastoreItem>
</file>

<file path=customXml/itemProps3.xml><?xml version="1.0" encoding="utf-8"?>
<ds:datastoreItem xmlns:ds="http://schemas.openxmlformats.org/officeDocument/2006/customXml" ds:itemID="{3300DE47-84D1-45BE-A482-30A377875962}">
  <ds:schemaRefs>
    <ds:schemaRef ds:uri="http://schemas.microsoft.com/sharepoint/v3/contenttype/forms"/>
  </ds:schemaRefs>
</ds:datastoreItem>
</file>

<file path=customXml/itemProps4.xml><?xml version="1.0" encoding="utf-8"?>
<ds:datastoreItem xmlns:ds="http://schemas.openxmlformats.org/officeDocument/2006/customXml" ds:itemID="{B9F1BAD1-94E8-4981-84E9-133A4CC9F9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8a3ac74-7938-463d-abdb-5c2afb1f1c8e"/>
    <ds:schemaRef ds:uri="9d54adc0-ed5f-42c7-81d8-b2bac821c9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13</Pages>
  <Words>4709</Words>
  <Characters>25905</Characters>
  <Application>Microsoft Office Word</Application>
  <DocSecurity>0</DocSecurity>
  <Lines>215</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Marlyn Manuela Vargas Hernandez</dc:creator>
  <cp:keywords/>
  <dc:description/>
  <cp:lastModifiedBy>Danna Paola Malambo Obregon</cp:lastModifiedBy>
  <cp:revision>13</cp:revision>
  <cp:lastPrinted>2024-11-18T20:54:00Z</cp:lastPrinted>
  <dcterms:created xsi:type="dcterms:W3CDTF">2023-07-10T14:54:00Z</dcterms:created>
  <dcterms:modified xsi:type="dcterms:W3CDTF">2024-11-18T20:54:00Z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ies>
</file>