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415D" w14:textId="4B6CE32F" w:rsidR="003238CC" w:rsidRDefault="003238CC" w:rsidP="007E7AD6">
      <w:pPr>
        <w:jc w:val="both"/>
      </w:pPr>
      <w:r>
        <w:t>En atención a la solicitud elevada por el accionante, desde EPS SURA se procedió con la autorización del servicio de salud requerido denominado como</w:t>
      </w:r>
      <w:r w:rsidR="007E7AD6">
        <w:t xml:space="preserve"> </w:t>
      </w:r>
      <w:r w:rsidR="007E7AD6">
        <w:t>[</w:t>
      </w:r>
      <w:r w:rsidR="007E7AD6">
        <w:t>CITA</w:t>
      </w:r>
      <w:proofErr w:type="gramStart"/>
      <w:r w:rsidR="007E7AD6">
        <w:t>]</w:t>
      </w:r>
      <w:r w:rsidR="007E7AD6">
        <w:t xml:space="preserve"> </w:t>
      </w:r>
      <w:r>
        <w:t>;</w:t>
      </w:r>
      <w:proofErr w:type="gramEnd"/>
      <w:r>
        <w:t xml:space="preserve"> no obstante, dada la naturaleza de la atención y en cumplimiento de los estándares de oportunidad establecidos por la normativa vigente, se precisa que la programación de los servicios se efectuará dentro de los términos legalmente previstos para cada tipo de consulta. En consecuencia, EPS SURA remitirá un nuevo memorial a su despacho informando oportunamente la fecha de programación y/o la materialización efectiva de los servicios autorizados. </w:t>
      </w:r>
    </w:p>
    <w:p w14:paraId="5E526F9D" w14:textId="77777777" w:rsidR="003238CC" w:rsidRDefault="003238CC" w:rsidP="007E7AD6">
      <w:pPr>
        <w:jc w:val="both"/>
      </w:pPr>
    </w:p>
    <w:p w14:paraId="1B90CA48" w14:textId="77777777" w:rsidR="003238CC" w:rsidRDefault="003238CC" w:rsidP="007E7AD6">
      <w:pPr>
        <w:jc w:val="both"/>
      </w:pPr>
      <w:r>
        <w:t xml:space="preserve">En relación con lo anterior, EPS SURA se permite informar que dará cumplimiento a los tiempos de programación de citas médicas conforme a lo dispuesto en los artículos 123 y 124 del Decreto 19 de 2012, disposiciones que regulan de manera expresa los plazos máximos para la asignación de citas de medicina general y especializada. </w:t>
      </w:r>
    </w:p>
    <w:p w14:paraId="08496B9B" w14:textId="2A0A667F" w:rsidR="003238CC" w:rsidRDefault="003238CC" w:rsidP="007E7AD6">
      <w:pPr>
        <w:jc w:val="both"/>
      </w:pPr>
    </w:p>
    <w:p w14:paraId="3FA006CA" w14:textId="70C0661B" w:rsidR="003238CC" w:rsidRDefault="003238CC" w:rsidP="007E7AD6">
      <w:pPr>
        <w:jc w:val="both"/>
      </w:pPr>
      <w:r>
        <w:t xml:space="preserve">En primer lugar, el artículo 123 del Decreto 19 de 2012 establece que las Entidades Promotoras de Salud deben garantizar la asignación de citas de medicina general dentro de un término máximo de tres (3) días hábiles contados a partir de la solicitud, sin exigencia de trámites presenciales ni de requisitos adicionales a los previstos por la ley. Esta norma también impone a las EPS la obligación de contar con mecanismos de seguimiento y evaluación de los tiempos de otorgamiento de citas, lo cual se articula plenamente con los procesos internos de EPS SURA orientados a asegurar la oportunidad en la atención. Por lo anterior, se informa al despacho que la programación de la cita de medicina general solicitada por el usuario será realizada dentro del término legal de tres (3) días hábiles, garantizando la observancia del estándar de oportunidad fijado por el legislador. </w:t>
      </w:r>
    </w:p>
    <w:p w14:paraId="760C0C88" w14:textId="68EFDBC0" w:rsidR="003238CC" w:rsidRDefault="003238CC" w:rsidP="007E7AD6">
      <w:pPr>
        <w:jc w:val="both"/>
      </w:pPr>
      <w:r>
        <w:t>De igual forma, el artículo 124 del mismo decreto dispone que la asignación de citas con médicos especialistas debe realizarse dentro del plazo que determine el Ministerio de Salud y Protección Social, atendiendo a factores como la disponibilidad de oferta de cada especialidad en la región, la carga de enfermedad de la población, la condición médica del paciente y otros elementos que inciden en la demanda del servicio. En armonía con dicha regulación, EPS SURA gestiona la programación de las citas especializadas conforme a la reglamentación vigente, procurando que estas se otorguen dentro de los días hábiles establecidos y de acuerdo con la capacidad instalada y la red prestadora disponible para cada especialidad.</w:t>
      </w:r>
    </w:p>
    <w:p w14:paraId="4749B764" w14:textId="77777777" w:rsidR="003238CC" w:rsidRDefault="003238CC" w:rsidP="007E7AD6">
      <w:pPr>
        <w:jc w:val="both"/>
      </w:pPr>
      <w:r>
        <w:t xml:space="preserve">Por lo expuesto, EPS SURA reitera al despacho que la programación de la cita especializada requerida por el accionante será garantizada dentro de los términos </w:t>
      </w:r>
      <w:r>
        <w:lastRenderedPageBreak/>
        <w:t xml:space="preserve">fijados por la normativa sectorial y conforme a los lineamientos del artículo 124 del Decreto 19 de 2012, observando en todo momento los principios de oportunidad, continuidad y calidad en la prestación del servicio de salud. </w:t>
      </w:r>
    </w:p>
    <w:p w14:paraId="5C95CEF7" w14:textId="6297EB19" w:rsidR="003238CC" w:rsidRDefault="003238CC" w:rsidP="007E7AD6">
      <w:pPr>
        <w:jc w:val="both"/>
      </w:pPr>
    </w:p>
    <w:p w14:paraId="7A31CB2C" w14:textId="77777777" w:rsidR="003238CC" w:rsidRDefault="003238CC" w:rsidP="007E7AD6">
      <w:pPr>
        <w:jc w:val="both"/>
      </w:pPr>
      <w:r>
        <w:t xml:space="preserve">En consecuencia, la entidad está otorgando un trámite oportuno y ajustado al marco jurídico aplicable, asegurando que el usuario reciba la atención solicitada dentro de los plazos legalmente previstos para los servicios de medicina general y especializada. </w:t>
      </w:r>
    </w:p>
    <w:p w14:paraId="634C47F9" w14:textId="77777777" w:rsidR="003238CC" w:rsidRDefault="003238CC" w:rsidP="003238CC"/>
    <w:p w14:paraId="6F57CBD0" w14:textId="77777777" w:rsidR="00EF41E7" w:rsidRDefault="00EF41E7"/>
    <w:sectPr w:rsidR="00EF41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1E7"/>
    <w:rsid w:val="003238CC"/>
    <w:rsid w:val="007E7AD6"/>
    <w:rsid w:val="00EF41E7"/>
    <w:rsid w:val="00F22A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1B82A"/>
  <w15:chartTrackingRefBased/>
  <w15:docId w15:val="{A0453178-196B-4702-B680-3CB87117F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4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4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41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41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41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41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1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1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1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1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41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41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41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41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41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1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1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1E7"/>
    <w:rPr>
      <w:rFonts w:eastAsiaTheme="majorEastAsia" w:cstheme="majorBidi"/>
      <w:color w:val="272727" w:themeColor="text1" w:themeTint="D8"/>
    </w:rPr>
  </w:style>
  <w:style w:type="paragraph" w:styleId="Ttulo">
    <w:name w:val="Title"/>
    <w:basedOn w:val="Normal"/>
    <w:next w:val="Normal"/>
    <w:link w:val="TtuloCar"/>
    <w:uiPriority w:val="10"/>
    <w:qFormat/>
    <w:rsid w:val="00EF4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1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1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1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1E7"/>
    <w:pPr>
      <w:spacing w:before="160"/>
      <w:jc w:val="center"/>
    </w:pPr>
    <w:rPr>
      <w:i/>
      <w:iCs/>
      <w:color w:val="404040" w:themeColor="text1" w:themeTint="BF"/>
    </w:rPr>
  </w:style>
  <w:style w:type="character" w:customStyle="1" w:styleId="CitaCar">
    <w:name w:val="Cita Car"/>
    <w:basedOn w:val="Fuentedeprrafopredeter"/>
    <w:link w:val="Cita"/>
    <w:uiPriority w:val="29"/>
    <w:rsid w:val="00EF41E7"/>
    <w:rPr>
      <w:i/>
      <w:iCs/>
      <w:color w:val="404040" w:themeColor="text1" w:themeTint="BF"/>
    </w:rPr>
  </w:style>
  <w:style w:type="paragraph" w:styleId="Prrafodelista">
    <w:name w:val="List Paragraph"/>
    <w:basedOn w:val="Normal"/>
    <w:uiPriority w:val="34"/>
    <w:qFormat/>
    <w:rsid w:val="00EF41E7"/>
    <w:pPr>
      <w:ind w:left="720"/>
      <w:contextualSpacing/>
    </w:pPr>
  </w:style>
  <w:style w:type="character" w:styleId="nfasisintenso">
    <w:name w:val="Intense Emphasis"/>
    <w:basedOn w:val="Fuentedeprrafopredeter"/>
    <w:uiPriority w:val="21"/>
    <w:qFormat/>
    <w:rsid w:val="00EF41E7"/>
    <w:rPr>
      <w:i/>
      <w:iCs/>
      <w:color w:val="0F4761" w:themeColor="accent1" w:themeShade="BF"/>
    </w:rPr>
  </w:style>
  <w:style w:type="paragraph" w:styleId="Citadestacada">
    <w:name w:val="Intense Quote"/>
    <w:basedOn w:val="Normal"/>
    <w:next w:val="Normal"/>
    <w:link w:val="CitadestacadaCar"/>
    <w:uiPriority w:val="30"/>
    <w:qFormat/>
    <w:rsid w:val="00EF4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41E7"/>
    <w:rPr>
      <w:i/>
      <w:iCs/>
      <w:color w:val="0F4761" w:themeColor="accent1" w:themeShade="BF"/>
    </w:rPr>
  </w:style>
  <w:style w:type="character" w:styleId="Referenciaintensa">
    <w:name w:val="Intense Reference"/>
    <w:basedOn w:val="Fuentedeprrafopredeter"/>
    <w:uiPriority w:val="32"/>
    <w:qFormat/>
    <w:rsid w:val="00EF4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2701</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3</cp:revision>
  <dcterms:created xsi:type="dcterms:W3CDTF">2026-06-10T08:02:00Z</dcterms:created>
  <dcterms:modified xsi:type="dcterms:W3CDTF">2026-06-10T08:03:00Z</dcterms:modified>
</cp:coreProperties>
</file>