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2488" w14:textId="52A9D767" w:rsidR="006D20E6" w:rsidRDefault="006D20E6" w:rsidP="006D20E6">
      <w:pPr>
        <w:jc w:val="both"/>
      </w:pPr>
      <w:r>
        <w:t xml:space="preserve">PROCESO DE IMPORTACIÓN DEL MEDICAMENTO </w:t>
      </w:r>
    </w:p>
    <w:p w14:paraId="5AE96E77" w14:textId="109DB451" w:rsidR="006D20E6" w:rsidRDefault="006D20E6" w:rsidP="006D20E6">
      <w:pPr>
        <w:jc w:val="both"/>
      </w:pPr>
      <w:r>
        <w:t xml:space="preserve">Para dimensionar las implicaciones del trámite de importación del medicamento ordenado detallamos los siguiente: </w:t>
      </w:r>
    </w:p>
    <w:p w14:paraId="084C2705" w14:textId="301193AC" w:rsidR="006D20E6" w:rsidRDefault="006D20E6" w:rsidP="006D20E6">
      <w:pPr>
        <w:jc w:val="both"/>
      </w:pPr>
      <w:r>
        <w:t xml:space="preserve">[MEDICAMENTO] </w:t>
      </w:r>
      <w:r>
        <w:t xml:space="preserve">es un medicamento especializado, que no cuenta con disponibilidad ordinaria en el país, su ingreso se encuentra sujeto a autorización previa del INVIMA, a través de los mecanismos dispuestos para la importación excepcional de medicamentos, incluyendo la Ventanilla Única de Comercio Exterior (VUCE). </w:t>
      </w:r>
    </w:p>
    <w:p w14:paraId="6C81A662" w14:textId="77777777" w:rsidR="006D20E6" w:rsidRDefault="006D20E6" w:rsidP="006D20E6">
      <w:pPr>
        <w:jc w:val="both"/>
      </w:pPr>
      <w:r>
        <w:t xml:space="preserve">En ese orden de ideas, el procedimiento aplicable comprende varias etapas de carácter administrativo, técnico y logístico, cuya duración depende de múltiples factores regulatorios y operativos, así: </w:t>
      </w:r>
    </w:p>
    <w:p w14:paraId="186880B5" w14:textId="522A686C" w:rsidR="006D20E6" w:rsidRDefault="006D20E6" w:rsidP="006D20E6">
      <w:pPr>
        <w:jc w:val="both"/>
      </w:pPr>
    </w:p>
    <w:p w14:paraId="2454C811" w14:textId="408A9D11" w:rsidR="006D20E6" w:rsidRDefault="006D20E6" w:rsidP="006D20E6">
      <w:pPr>
        <w:jc w:val="both"/>
      </w:pPr>
      <w:r>
        <w:t xml:space="preserve">Solicitud de autorización de importación ante el INVIMA: Sin esta aprobación, no es posible adelantar la compra internacional, ni gestionar su transporte o nacionalización. Para ello se debe radicar la solicitud correspondiente para la importación del medicamento, ya sea bajo la modalidad de medicamento vital no disponible o importación para paciente específico, según corresponda. Esta autorización es un requisito indispensable para habilitar jurídicamente la adquisición e ingreso del producto al país. </w:t>
      </w:r>
    </w:p>
    <w:p w14:paraId="1A687C69" w14:textId="25289B53" w:rsidR="006D20E6" w:rsidRDefault="006D20E6" w:rsidP="006D20E6">
      <w:pPr>
        <w:jc w:val="both"/>
      </w:pPr>
      <w:r>
        <w:t xml:space="preserve">El tiempo de respuesta por parte del INVIMA es variable y no está definido por norma, aunque de manera referencial puede oscilar entre 25 y 30 días hábiles, dependiendo de la complejidad del caso o las solicitudes adicionales que realice el INVIMA.  </w:t>
      </w:r>
    </w:p>
    <w:p w14:paraId="4328FFBC" w14:textId="28E7242B" w:rsidR="006D20E6" w:rsidRDefault="006D20E6" w:rsidP="006D20E6">
      <w:pPr>
        <w:jc w:val="both"/>
      </w:pPr>
      <w:r>
        <w:t xml:space="preserve">Evaluación técnica y eventuales requerimientos: Durante el trámite, el INVIMA puede solicitar información adicional o aclaraciones, lo cual establece </w:t>
      </w:r>
      <w:proofErr w:type="gramStart"/>
      <w:r>
        <w:t>un  término</w:t>
      </w:r>
      <w:proofErr w:type="gramEnd"/>
      <w:r>
        <w:t xml:space="preserve"> específico para allegar la documentación requerida. Una vez atendido el requerimiento, la entidad reanuda el estudio de la solicitud, cuyo tiempo de decisión igualmente es variable, pudiendo tomar de manera estimada entre 25 y 30 días hábiles. </w:t>
      </w:r>
    </w:p>
    <w:p w14:paraId="16E79E33" w14:textId="77777777" w:rsidR="006D20E6" w:rsidRDefault="006D20E6" w:rsidP="006D20E6">
      <w:pPr>
        <w:jc w:val="both"/>
      </w:pPr>
      <w:r>
        <w:t xml:space="preserve">Decisión administrativa: Una vez verificada la información, la entidad emite pronunciamiento de fondo, aprobando o negando la solicitud. En caso de rechazo, procede el recurso de reposición contra dicha resolución, que tiene un término de respuesta igualmente de 25 a 30 días hábiles.  </w:t>
      </w:r>
    </w:p>
    <w:p w14:paraId="4EACC845" w14:textId="77777777" w:rsidR="006D20E6" w:rsidRDefault="006D20E6" w:rsidP="006D20E6">
      <w:pPr>
        <w:jc w:val="both"/>
      </w:pPr>
    </w:p>
    <w:p w14:paraId="558BCC51" w14:textId="77777777" w:rsidR="006D20E6" w:rsidRDefault="006D20E6" w:rsidP="006D20E6">
      <w:pPr>
        <w:jc w:val="both"/>
      </w:pPr>
      <w:r>
        <w:t xml:space="preserve">  </w:t>
      </w:r>
    </w:p>
    <w:p w14:paraId="6F2A23AD" w14:textId="77777777" w:rsidR="006D20E6" w:rsidRDefault="006D20E6" w:rsidP="006D20E6">
      <w:pPr>
        <w:jc w:val="both"/>
      </w:pPr>
    </w:p>
    <w:p w14:paraId="333B45FC" w14:textId="1BB985B5" w:rsidR="006D20E6" w:rsidRDefault="006D20E6" w:rsidP="006D20E6">
      <w:pPr>
        <w:jc w:val="both"/>
      </w:pPr>
      <w:r>
        <w:lastRenderedPageBreak/>
        <w:t xml:space="preserve">Ejecución del proceso de importación: Solo una vez obtenida la autorización sanitaria, es posible iniciar las gestiones de compra al fabricante, coordinación logística internacional, transporte, ingreso al territorio nacional y nacionalización ante la DIAN, etapas que igualmente están sujetas a tiempos variables dependiendo de condiciones de mercado, disponibilidad del producto y trámites aduaneros. Estas etapas se encuentran igualmente sujetas a condiciones de mercado, disponibilidad del producto y tiempos aduaneros, pudiendo tomar de manera aproximada entre 30 y 45 días hábiles. </w:t>
      </w:r>
    </w:p>
    <w:p w14:paraId="03F8A566" w14:textId="77777777" w:rsidR="006D20E6" w:rsidRDefault="006D20E6" w:rsidP="006D20E6">
      <w:pPr>
        <w:jc w:val="both"/>
      </w:pPr>
    </w:p>
    <w:p w14:paraId="47AE5E8C" w14:textId="74EDED27" w:rsidR="00821DB6" w:rsidRDefault="006D20E6" w:rsidP="006D20E6">
      <w:pPr>
        <w:jc w:val="both"/>
      </w:pPr>
      <w:r>
        <w:t>En consecuencia, el proceso integral para la importación del medicamento no responde a un término único o perentorio, sino que constituye un trámite complejo, secuencial y sujeto a variables administrativas, regulatorias y logísticas, cuyo tiempo de ejecución puede extenderse de manera razonable dependiendo de las circunstancias particulares de cada caso.</w:t>
      </w:r>
    </w:p>
    <w:sectPr w:rsidR="00821D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B6"/>
    <w:rsid w:val="00470A39"/>
    <w:rsid w:val="006D20E6"/>
    <w:rsid w:val="00785D31"/>
    <w:rsid w:val="00821D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F57A"/>
  <w15:chartTrackingRefBased/>
  <w15:docId w15:val="{4DFB4E71-D195-4117-8E65-7F1D3792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1D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1D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1D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1D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D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D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D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D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1D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1D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1D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1D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1D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D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D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DB6"/>
    <w:rPr>
      <w:rFonts w:eastAsiaTheme="majorEastAsia" w:cstheme="majorBidi"/>
      <w:color w:val="272727" w:themeColor="text1" w:themeTint="D8"/>
    </w:rPr>
  </w:style>
  <w:style w:type="paragraph" w:styleId="Ttulo">
    <w:name w:val="Title"/>
    <w:basedOn w:val="Normal"/>
    <w:next w:val="Normal"/>
    <w:link w:val="TtuloCar"/>
    <w:uiPriority w:val="10"/>
    <w:qFormat/>
    <w:rsid w:val="0082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D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D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D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DB6"/>
    <w:pPr>
      <w:spacing w:before="160"/>
      <w:jc w:val="center"/>
    </w:pPr>
    <w:rPr>
      <w:i/>
      <w:iCs/>
      <w:color w:val="404040" w:themeColor="text1" w:themeTint="BF"/>
    </w:rPr>
  </w:style>
  <w:style w:type="character" w:customStyle="1" w:styleId="CitaCar">
    <w:name w:val="Cita Car"/>
    <w:basedOn w:val="Fuentedeprrafopredeter"/>
    <w:link w:val="Cita"/>
    <w:uiPriority w:val="29"/>
    <w:rsid w:val="00821DB6"/>
    <w:rPr>
      <w:i/>
      <w:iCs/>
      <w:color w:val="404040" w:themeColor="text1" w:themeTint="BF"/>
    </w:rPr>
  </w:style>
  <w:style w:type="paragraph" w:styleId="Prrafodelista">
    <w:name w:val="List Paragraph"/>
    <w:basedOn w:val="Normal"/>
    <w:uiPriority w:val="34"/>
    <w:qFormat/>
    <w:rsid w:val="00821DB6"/>
    <w:pPr>
      <w:ind w:left="720"/>
      <w:contextualSpacing/>
    </w:pPr>
  </w:style>
  <w:style w:type="character" w:styleId="nfasisintenso">
    <w:name w:val="Intense Emphasis"/>
    <w:basedOn w:val="Fuentedeprrafopredeter"/>
    <w:uiPriority w:val="21"/>
    <w:qFormat/>
    <w:rsid w:val="00821DB6"/>
    <w:rPr>
      <w:i/>
      <w:iCs/>
      <w:color w:val="0F4761" w:themeColor="accent1" w:themeShade="BF"/>
    </w:rPr>
  </w:style>
  <w:style w:type="paragraph" w:styleId="Citadestacada">
    <w:name w:val="Intense Quote"/>
    <w:basedOn w:val="Normal"/>
    <w:next w:val="Normal"/>
    <w:link w:val="CitadestacadaCar"/>
    <w:uiPriority w:val="30"/>
    <w:qFormat/>
    <w:rsid w:val="0082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1DB6"/>
    <w:rPr>
      <w:i/>
      <w:iCs/>
      <w:color w:val="0F4761" w:themeColor="accent1" w:themeShade="BF"/>
    </w:rPr>
  </w:style>
  <w:style w:type="character" w:styleId="Referenciaintensa">
    <w:name w:val="Intense Reference"/>
    <w:basedOn w:val="Fuentedeprrafopredeter"/>
    <w:uiPriority w:val="32"/>
    <w:qFormat/>
    <w:rsid w:val="0082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2604</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3</cp:revision>
  <dcterms:created xsi:type="dcterms:W3CDTF">2026-06-10T08:06:00Z</dcterms:created>
  <dcterms:modified xsi:type="dcterms:W3CDTF">2026-06-10T08:08:00Z</dcterms:modified>
</cp:coreProperties>
</file>