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97E2" w14:textId="77777777" w:rsidR="00E013FB" w:rsidRDefault="00E013FB" w:rsidP="00E013FB">
      <w:pPr>
        <w:jc w:val="both"/>
      </w:pPr>
      <w:r>
        <w:t>Respecto de la solicitud relacionada con el suministro del medicamento denominado [MEDICAMENTO], EPS SURA se permite informar que dicho producto corresponde a una tecnología en salud que actualmente no cuenta con registro sanitario expedido por el Instituto Nacional de Vigilancia de Medicamentos y Alimentos – INVIMA para su comercialización ordinaria en el territorio nacional, circunstancia que reviste especial relevancia desde el punto de vista regulatorio, sanitario y de seguridad del paciente.</w:t>
      </w:r>
    </w:p>
    <w:p w14:paraId="34518F0C" w14:textId="77777777" w:rsidR="00E013FB" w:rsidRDefault="00E013FB" w:rsidP="00E013FB">
      <w:pPr>
        <w:jc w:val="both"/>
      </w:pPr>
    </w:p>
    <w:p w14:paraId="37E97FF3" w14:textId="77777777" w:rsidR="00E013FB" w:rsidRDefault="00E013FB" w:rsidP="00E013FB">
      <w:pPr>
        <w:jc w:val="both"/>
      </w:pPr>
      <w:r>
        <w:t>En efecto, el registro sanitario constituye el mecanismo mediante el cual la autoridad competente verifica la calidad, seguridad y eficacia de los medicamentos destinados al consumo humano, razón por la cual su ausencia impide considerar que el producto haya superado los controles técnicos exigidos por el ordenamiento jurídico colombiano para su utilización generalizada dentro del Sistema General de Seguridad Social en Salud.</w:t>
      </w:r>
    </w:p>
    <w:p w14:paraId="13DE56C9" w14:textId="77777777" w:rsidR="00E013FB" w:rsidRDefault="00E013FB" w:rsidP="00E013FB">
      <w:pPr>
        <w:jc w:val="both"/>
      </w:pPr>
    </w:p>
    <w:p w14:paraId="53B417C3" w14:textId="77777777" w:rsidR="00E013FB" w:rsidRDefault="00E013FB" w:rsidP="00E013FB">
      <w:pPr>
        <w:jc w:val="both"/>
      </w:pPr>
      <w:r>
        <w:t>La Corte Constitucional ha reconocido que el acceso a medicamentos sin registro sanitario o con usos no aprobados constituye una situación excepcional que exige la verificación rigurosa de presupuestos científicos, médicos y regulatorios específicos. En tal sentido, la protección constitucional no puede extenderse automáticamente a tecnologías que carecen de validación sanitaria suficiente, pues ello comprometería los principios de seguridad del paciente, eficacia terapéutica y uso racional de los recursos públicos destinados a la salud.</w:t>
      </w:r>
    </w:p>
    <w:p w14:paraId="3F007D44" w14:textId="77777777" w:rsidR="00E013FB" w:rsidRDefault="00E013FB" w:rsidP="00E013FB">
      <w:pPr>
        <w:jc w:val="both"/>
      </w:pPr>
    </w:p>
    <w:p w14:paraId="722C29BF" w14:textId="7AC716FC" w:rsidR="00E013FB" w:rsidRDefault="00E013FB" w:rsidP="00E013FB">
      <w:pPr>
        <w:jc w:val="both"/>
      </w:pPr>
      <w:r>
        <w:t>Por consiguiente, la sola solicitud del usuario o la existencia de información proveniente de fuentes distintas al médico tratante no constituyen fundamento suficiente para ordenar el suministro de una tecnología que no cuenta con las autorizaciones sanitarias exigidas por la legislación vigente.</w:t>
      </w:r>
    </w:p>
    <w:p w14:paraId="7B3DD880" w14:textId="45CD33A3" w:rsidR="00E013FB" w:rsidRDefault="00E013FB" w:rsidP="00E013FB">
      <w:pPr>
        <w:jc w:val="both"/>
      </w:pPr>
      <w:r>
        <w:t>VARIABLE: NO EXISTE ORDEN MÉDICA</w:t>
      </w:r>
    </w:p>
    <w:p w14:paraId="503D3E84" w14:textId="256439E4" w:rsidR="00E013FB" w:rsidRDefault="00E013FB" w:rsidP="00E013FB">
      <w:pPr>
        <w:jc w:val="both"/>
      </w:pPr>
      <w:r>
        <w:t>Adicionalmente, se evidencia que el medicamento solicitado no cuenta con prescripción emitida por un profesional adscrito a la red de prestación de servicios de salud encargada del manejo integral del paciente.</w:t>
      </w:r>
    </w:p>
    <w:p w14:paraId="45601895" w14:textId="72F8CC3B" w:rsidR="00E013FB" w:rsidRDefault="00E013FB" w:rsidP="00E013FB">
      <w:pPr>
        <w:jc w:val="both"/>
      </w:pPr>
      <w:r>
        <w:t xml:space="preserve">Sobre este aspecto, la jurisprudencia constitucional ha sido reiterativa en señalar que las decisiones relativas a medicamentos, procedimientos y tratamientos corresponden al médico tratante, quien es el profesional idóneo para determinar la necesidad, pertinencia, riesgos y beneficios de una determinada tecnología en salud. En consecuencia, ni la EPS ni el juez constitucional pueden sustituir el </w:t>
      </w:r>
      <w:r>
        <w:lastRenderedPageBreak/>
        <w:t>criterio médico mediante la autorización directa de tecnologías que no hayan sido previamente prescritas.</w:t>
      </w:r>
    </w:p>
    <w:p w14:paraId="129BF5EE" w14:textId="77777777" w:rsidR="00E013FB" w:rsidRDefault="00E013FB" w:rsidP="00E013FB">
      <w:pPr>
        <w:jc w:val="both"/>
      </w:pPr>
      <w:r>
        <w:t>Por lo anterior, al no existir orden médica que soporte la necesidad clínica del medicamento solicitado, no resulta procedente acceder a la pretensión formulada.</w:t>
      </w:r>
    </w:p>
    <w:p w14:paraId="04367139" w14:textId="77777777" w:rsidR="00E013FB" w:rsidRDefault="00E013FB" w:rsidP="00E013FB">
      <w:pPr>
        <w:jc w:val="both"/>
      </w:pPr>
    </w:p>
    <w:p w14:paraId="37A24F4E" w14:textId="77777777" w:rsidR="00E013FB" w:rsidRDefault="00E013FB" w:rsidP="00E013FB">
      <w:pPr>
        <w:jc w:val="both"/>
      </w:pPr>
      <w:r>
        <w:t>VARIABLE: EXISTE ALTERNATIVA TERAPÉUTICA</w:t>
      </w:r>
    </w:p>
    <w:p w14:paraId="68C934A2" w14:textId="77777777" w:rsidR="00E013FB" w:rsidRDefault="00E013FB" w:rsidP="00E013FB">
      <w:pPr>
        <w:jc w:val="both"/>
      </w:pPr>
    </w:p>
    <w:p w14:paraId="1837A6AC" w14:textId="106D6738" w:rsidR="00E013FB" w:rsidRDefault="00E013FB" w:rsidP="00E013FB">
      <w:pPr>
        <w:jc w:val="both"/>
      </w:pPr>
      <w:r>
        <w:t>De igual manera, se advierte que para la patología diagnosticada existen alternativas terapéuticas disponibles dentro del sistema de salud que cuentan con respaldo científico, autorización sanitaria vigente y evidencia suficiente de seguridad y eficacia.</w:t>
      </w:r>
    </w:p>
    <w:p w14:paraId="24BC735F" w14:textId="77EC833B" w:rsidR="00E013FB" w:rsidRDefault="00E013FB" w:rsidP="00E013FB">
      <w:pPr>
        <w:jc w:val="both"/>
      </w:pPr>
      <w:r>
        <w:t>En tales circunstancias, no se configura el presupuesto de necesidad estricta exigido por la jurisprudencia constitucional para la autorización excepcional de medicamentos sin registro sanitario, toda vez que el usuario dispone de opciones terapéuticas que permiten abordar adecuadamente su condición clínica dentro de los parámetros regulatorios establecidos por el ordenamiento jurídico.</w:t>
      </w:r>
    </w:p>
    <w:p w14:paraId="6CA2D854" w14:textId="77777777" w:rsidR="00E013FB" w:rsidRDefault="00E013FB" w:rsidP="00E013FB">
      <w:pPr>
        <w:jc w:val="both"/>
      </w:pPr>
      <w:r>
        <w:t>Por consiguiente, no se evidencia una afectación desproporcionada de los derechos fundamentales que justifique el desplazamiento de las reglas ordinarias de habilitación sanitaria.</w:t>
      </w:r>
    </w:p>
    <w:p w14:paraId="3E520008" w14:textId="77777777" w:rsidR="00E013FB" w:rsidRDefault="00E013FB" w:rsidP="00E013FB">
      <w:pPr>
        <w:jc w:val="both"/>
      </w:pPr>
    </w:p>
    <w:p w14:paraId="6AD813F0" w14:textId="77777777" w:rsidR="00E013FB" w:rsidRDefault="00E013FB" w:rsidP="00E013FB">
      <w:pPr>
        <w:jc w:val="both"/>
      </w:pPr>
      <w:r>
        <w:t>VARIABLE: MEDICAMENTO OFF-LABEL</w:t>
      </w:r>
    </w:p>
    <w:p w14:paraId="7E81C0A4" w14:textId="77777777" w:rsidR="00E013FB" w:rsidRDefault="00E013FB" w:rsidP="00E013FB">
      <w:pPr>
        <w:jc w:val="both"/>
      </w:pPr>
    </w:p>
    <w:p w14:paraId="686B869C" w14:textId="33CBDFE3" w:rsidR="00E013FB" w:rsidRDefault="00E013FB" w:rsidP="00E013FB">
      <w:pPr>
        <w:jc w:val="both"/>
      </w:pPr>
      <w:r>
        <w:t xml:space="preserve">Ahora bien, si el medicamento solicitado cuenta con registro </w:t>
      </w:r>
      <w:proofErr w:type="gramStart"/>
      <w:r>
        <w:t>sanitario</w:t>
      </w:r>
      <w:proofErr w:type="gramEnd"/>
      <w:r>
        <w:t xml:space="preserve"> pero ha sido prescrito para una indicación distinta a aquella autorizada por el INVIMA, corresponde precisar que dicha utilización constituye un uso off-</w:t>
      </w:r>
      <w:proofErr w:type="spellStart"/>
      <w:r>
        <w:t>label</w:t>
      </w:r>
      <w:proofErr w:type="spellEnd"/>
      <w:r>
        <w:t>.</w:t>
      </w:r>
    </w:p>
    <w:p w14:paraId="001806B6" w14:textId="77777777" w:rsidR="00E013FB" w:rsidRDefault="00E013FB" w:rsidP="00E013FB">
      <w:pPr>
        <w:jc w:val="both"/>
      </w:pPr>
      <w:r>
        <w:t>La jurisprudencia constitucional ha señalado que estos eventos únicamente pueden ser considerados de manera excepcional cuando exista soporte científico suficiente, justificación clínica individualizada y evidencia razonable sobre la seguridad y eficacia del tratamiento propuesto. En consecuencia, la utilización de medicamentos por fuera de las indicaciones aprobadas no constituye una obligación automática a cargo de las entidades promotoras de salud y requiere una valoración médica especializada que justifique su necesidad en el caso concreto.</w:t>
      </w:r>
    </w:p>
    <w:p w14:paraId="34C62725" w14:textId="77777777" w:rsidR="00E013FB" w:rsidRDefault="00E013FB" w:rsidP="00E013FB">
      <w:pPr>
        <w:jc w:val="both"/>
      </w:pPr>
    </w:p>
    <w:p w14:paraId="30D884AB" w14:textId="77777777" w:rsidR="00E013FB" w:rsidRDefault="00E013FB" w:rsidP="00E013FB">
      <w:pPr>
        <w:jc w:val="both"/>
      </w:pPr>
      <w:r>
        <w:t>VARIABLE: REQUIERE IMPORTACIÓN</w:t>
      </w:r>
    </w:p>
    <w:p w14:paraId="7D666D82" w14:textId="77777777" w:rsidR="00E013FB" w:rsidRDefault="00E013FB" w:rsidP="00E013FB">
      <w:pPr>
        <w:jc w:val="both"/>
      </w:pPr>
    </w:p>
    <w:p w14:paraId="2D5305AE" w14:textId="47FFD396" w:rsidR="00E013FB" w:rsidRDefault="00E013FB" w:rsidP="00E013FB">
      <w:pPr>
        <w:jc w:val="both"/>
      </w:pPr>
      <w:r>
        <w:t>Finalmente, debe precisarse que la eventual importación del medicamento solicitado depende de procedimientos regulatorios cuya competencia corresponde exclusivamente al Instituto Nacional de Vigilancia de Medicamentos y Alimentos – INVIMA, entidad encargada de evaluar las solicitudes de importación, uso vital no disponible, autorizaciones excepcionales y demás trámites sanitarios previstos por la normatividad vigente.</w:t>
      </w:r>
    </w:p>
    <w:p w14:paraId="650DB030" w14:textId="77777777" w:rsidR="00E013FB" w:rsidRDefault="00E013FB" w:rsidP="00E013FB">
      <w:pPr>
        <w:jc w:val="both"/>
      </w:pPr>
      <w:r>
        <w:t>En consecuencia, EPS SURA carece de facultades legales para aprobar directamente el ingreso al país de medicamentos sin registro sanitario o para sustituir las competencias asignadas por la ley a la autoridad sanitaria nacional.</w:t>
      </w:r>
    </w:p>
    <w:p w14:paraId="592D0252" w14:textId="77777777" w:rsidR="00E013FB" w:rsidRDefault="00E013FB" w:rsidP="00E013FB">
      <w:pPr>
        <w:jc w:val="both"/>
      </w:pPr>
    </w:p>
    <w:p w14:paraId="2EBED84F" w14:textId="77777777" w:rsidR="00E013FB" w:rsidRDefault="00E013FB" w:rsidP="00E013FB">
      <w:pPr>
        <w:jc w:val="both"/>
      </w:pPr>
      <w:r>
        <w:t>SOLICITUD DE VINCULACIÓN DEL INVIMA</w:t>
      </w:r>
    </w:p>
    <w:p w14:paraId="6A7D2457" w14:textId="77777777" w:rsidR="00E013FB" w:rsidRDefault="00E013FB" w:rsidP="00E013FB">
      <w:pPr>
        <w:jc w:val="both"/>
      </w:pPr>
    </w:p>
    <w:p w14:paraId="2A96195A" w14:textId="4CFBE4CC" w:rsidR="00E013FB" w:rsidRDefault="00E013FB" w:rsidP="00E013FB">
      <w:pPr>
        <w:jc w:val="both"/>
      </w:pPr>
      <w:r>
        <w:t>En caso de que el despacho considere procedente analizar la autorización excepcional del medicamento solicitado, respetuosamente se solicita la vinculación del Instituto Nacional de Vigilancia de Medicamentos y Alimentos – INVIMA, por tratarse de la autoridad competente para evaluar y decidir sobre la autorización sanitaria, importación, uso excepcional o cualquier actuación administrativa relacionada con la tecnología objeto de controversia.</w:t>
      </w:r>
    </w:p>
    <w:p w14:paraId="3EE2D0B3" w14:textId="37B1ADB0" w:rsidR="00E013FB" w:rsidRDefault="00E013FB" w:rsidP="00E013FB">
      <w:pPr>
        <w:jc w:val="both"/>
      </w:pPr>
      <w:r>
        <w:t>Lo anterior resulta indispensable para garantizar el debido proceso, la eficacia material de cualquier decisión judicial y evitar la emisión de órdenes cuyo cumplimiento dependa de una entidad no vinculada al trámite constitucional.</w:t>
      </w:r>
    </w:p>
    <w:p w14:paraId="1407CA19" w14:textId="1E6D3201" w:rsidR="00C3792B" w:rsidRDefault="00E013FB" w:rsidP="00E013FB">
      <w:pPr>
        <w:jc w:val="both"/>
      </w:pPr>
      <w:r>
        <w:t>En consecuencia, EPS SURA solicita que cualquier orden relacionada con la aprobación, autorización, importación o ingreso al territorio nacional del medicamento [MEDICAMENTO] sea dirigida igualmente al INVIMA, dentro del ámbito de sus competencias legales y regulatorias.</w:t>
      </w:r>
    </w:p>
    <w:sectPr w:rsidR="00C379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92B"/>
    <w:rsid w:val="00471E72"/>
    <w:rsid w:val="00C3792B"/>
    <w:rsid w:val="00E013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B3CD"/>
  <w15:chartTrackingRefBased/>
  <w15:docId w15:val="{75F64083-BE9E-4AC1-9F56-5EAA14FC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7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7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79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79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79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7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7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7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7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9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79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79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79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79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79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79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79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792B"/>
    <w:rPr>
      <w:rFonts w:eastAsiaTheme="majorEastAsia" w:cstheme="majorBidi"/>
      <w:color w:val="272727" w:themeColor="text1" w:themeTint="D8"/>
    </w:rPr>
  </w:style>
  <w:style w:type="paragraph" w:styleId="Ttulo">
    <w:name w:val="Title"/>
    <w:basedOn w:val="Normal"/>
    <w:next w:val="Normal"/>
    <w:link w:val="TtuloCar"/>
    <w:uiPriority w:val="10"/>
    <w:qFormat/>
    <w:rsid w:val="00C3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7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7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79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792B"/>
    <w:pPr>
      <w:spacing w:before="160"/>
      <w:jc w:val="center"/>
    </w:pPr>
    <w:rPr>
      <w:i/>
      <w:iCs/>
      <w:color w:val="404040" w:themeColor="text1" w:themeTint="BF"/>
    </w:rPr>
  </w:style>
  <w:style w:type="character" w:customStyle="1" w:styleId="CitaCar">
    <w:name w:val="Cita Car"/>
    <w:basedOn w:val="Fuentedeprrafopredeter"/>
    <w:link w:val="Cita"/>
    <w:uiPriority w:val="29"/>
    <w:rsid w:val="00C3792B"/>
    <w:rPr>
      <w:i/>
      <w:iCs/>
      <w:color w:val="404040" w:themeColor="text1" w:themeTint="BF"/>
    </w:rPr>
  </w:style>
  <w:style w:type="paragraph" w:styleId="Prrafodelista">
    <w:name w:val="List Paragraph"/>
    <w:basedOn w:val="Normal"/>
    <w:uiPriority w:val="34"/>
    <w:qFormat/>
    <w:rsid w:val="00C3792B"/>
    <w:pPr>
      <w:ind w:left="720"/>
      <w:contextualSpacing/>
    </w:pPr>
  </w:style>
  <w:style w:type="character" w:styleId="nfasisintenso">
    <w:name w:val="Intense Emphasis"/>
    <w:basedOn w:val="Fuentedeprrafopredeter"/>
    <w:uiPriority w:val="21"/>
    <w:qFormat/>
    <w:rsid w:val="00C3792B"/>
    <w:rPr>
      <w:i/>
      <w:iCs/>
      <w:color w:val="0F4761" w:themeColor="accent1" w:themeShade="BF"/>
    </w:rPr>
  </w:style>
  <w:style w:type="paragraph" w:styleId="Citadestacada">
    <w:name w:val="Intense Quote"/>
    <w:basedOn w:val="Normal"/>
    <w:next w:val="Normal"/>
    <w:link w:val="CitadestacadaCar"/>
    <w:uiPriority w:val="30"/>
    <w:qFormat/>
    <w:rsid w:val="00C37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792B"/>
    <w:rPr>
      <w:i/>
      <w:iCs/>
      <w:color w:val="0F4761" w:themeColor="accent1" w:themeShade="BF"/>
    </w:rPr>
  </w:style>
  <w:style w:type="character" w:styleId="Referenciaintensa">
    <w:name w:val="Intense Reference"/>
    <w:basedOn w:val="Fuentedeprrafopredeter"/>
    <w:uiPriority w:val="32"/>
    <w:qFormat/>
    <w:rsid w:val="00C37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930</Words>
  <Characters>5118</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2</cp:revision>
  <dcterms:created xsi:type="dcterms:W3CDTF">2026-06-10T08:09:00Z</dcterms:created>
  <dcterms:modified xsi:type="dcterms:W3CDTF">2026-06-10T08:10:00Z</dcterms:modified>
</cp:coreProperties>
</file>