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4382F" w14:textId="77777777" w:rsidR="00B00FF4" w:rsidRDefault="00B00FF4" w:rsidP="00B00FF4">
      <w:pPr>
        <w:jc w:val="both"/>
      </w:pPr>
      <w:r>
        <w:t>Ahora bien, en relación con la solicitud de reconocimiento de gastos de alojamiento, alimentación, manutención o demás viáticos derivados del tiempo que demande la gestión y entrega de la tecnología prescrita denominada [TECNOLOGÍA], EPS SURA se permite indicar que dichas prestaciones no constituyen servicios o tecnologías en salud financiadas con recursos de la Unidad de Pago por Capitación (UPC), ni se encuentran contempladas dentro de las coberturas previstas en los artículos 105, 106 y 107 de la Resolución 2765 de 2025.</w:t>
      </w:r>
    </w:p>
    <w:p w14:paraId="2D4C62C1" w14:textId="77777777" w:rsidR="00B00FF4" w:rsidRDefault="00B00FF4" w:rsidP="00B00FF4">
      <w:pPr>
        <w:jc w:val="both"/>
      </w:pPr>
    </w:p>
    <w:p w14:paraId="66754D5E" w14:textId="77777777" w:rsidR="00B00FF4" w:rsidRDefault="00B00FF4" w:rsidP="00B00FF4">
      <w:pPr>
        <w:jc w:val="both"/>
      </w:pPr>
      <w:r>
        <w:t>En efecto, aun cuando la entidad viene adelantando las actuaciones necesarias para garantizar el suministro de la tecnología ordenada por el profesional tratante, los gastos asociados a la permanencia temporal del usuario o de sus acompañantes, tales como hospedaje, alimentación, manutención o viáticos, corresponden a prestaciones de naturaleza económica que no hacen parte del Plan de Beneficios en Salud y, por tanto, no pueden ser asumidas por la EPS con cargo a los recursos públicos destinados a la financiación de servicios y tecnologías en salud.</w:t>
      </w:r>
    </w:p>
    <w:p w14:paraId="3D260563" w14:textId="77777777" w:rsidR="00B00FF4" w:rsidRDefault="00B00FF4" w:rsidP="00B00FF4">
      <w:pPr>
        <w:jc w:val="both"/>
      </w:pPr>
    </w:p>
    <w:p w14:paraId="76A97291" w14:textId="77777777" w:rsidR="00B00FF4" w:rsidRDefault="00B00FF4" w:rsidP="00B00FF4">
      <w:pPr>
        <w:jc w:val="both"/>
      </w:pPr>
      <w:r>
        <w:t>Adicionalmente, debe señalarse que la eventual espera derivada de los procesos técnicos, administrativos, logísticos, de fabricación, adecuación, importación o entrega de la tecnología prescrita no transforma automáticamente dichos gastos en prestaciones financiables por el Sistema General de Seguridad Social en Salud, toda vez que la normativa vigente no contempla una obligación a cargo de las EPS para sufragar costos de sostenimiento personal del usuario durante el tiempo que demande la materialización del servicio.</w:t>
      </w:r>
    </w:p>
    <w:p w14:paraId="5D9D0914" w14:textId="77777777" w:rsidR="00B00FF4" w:rsidRDefault="00B00FF4" w:rsidP="00B00FF4">
      <w:pPr>
        <w:jc w:val="both"/>
      </w:pPr>
    </w:p>
    <w:p w14:paraId="6C722D63" w14:textId="77777777" w:rsidR="00B00FF4" w:rsidRDefault="00B00FF4" w:rsidP="00B00FF4">
      <w:pPr>
        <w:jc w:val="both"/>
      </w:pPr>
      <w:r>
        <w:t>De igual manera, la jurisprudencia constitucional ha sostenido que el reconocimiento excepcional de gastos de transporte, alojamiento o acompañamiento exige la acreditación concurrente de circunstancias específicas relacionadas con la condición clínica del paciente, su dependencia funcional y la insuficiencia económica del núcleo familiar, presupuestos que deben demostrarse dentro del expediente y que no pueden presumirse por el simple hecho de encontrarse pendiente la entrega de una tecnología en salud.</w:t>
      </w:r>
    </w:p>
    <w:p w14:paraId="73442918" w14:textId="77777777" w:rsidR="00B00FF4" w:rsidRDefault="00B00FF4" w:rsidP="00B00FF4">
      <w:pPr>
        <w:jc w:val="both"/>
      </w:pPr>
    </w:p>
    <w:p w14:paraId="08942DE0" w14:textId="18E980EC" w:rsidR="00EF1C46" w:rsidRDefault="00B00FF4" w:rsidP="00B00FF4">
      <w:pPr>
        <w:jc w:val="both"/>
      </w:pPr>
      <w:r>
        <w:t xml:space="preserve">Por lo anterior, en caso de que el despacho considere necesaria la adopción de medidas complementarias de carácter asistencial o socioeconómico, respetuosamente se solicita vincular a la entidad territorial competente —municipio, distrito o departamento, según corresponda— para que, dentro del </w:t>
      </w:r>
      <w:r>
        <w:lastRenderedPageBreak/>
        <w:t>ámbito de sus competencias constitucionales y legales, evalúe la procedencia de apoyos económicos, subsidios o programas sociales destinados a garantizar las condiciones de acceso del usuario, sin trasladar a la EPS obligaciones que exceden el marco de financiación previsto por el Sistema General de Seguridad Social en Salud.</w:t>
      </w:r>
    </w:p>
    <w:sectPr w:rsidR="00EF1C4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C46"/>
    <w:rsid w:val="00912467"/>
    <w:rsid w:val="00B00FF4"/>
    <w:rsid w:val="00EF1C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9A484"/>
  <w15:chartTrackingRefBased/>
  <w15:docId w15:val="{2660463C-46B1-4FCB-89C7-89158D3EA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F1C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F1C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F1C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1C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1C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1C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1C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1C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1C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1C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F1C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F1C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F1C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F1C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F1C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1C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1C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1C46"/>
    <w:rPr>
      <w:rFonts w:eastAsiaTheme="majorEastAsia" w:cstheme="majorBidi"/>
      <w:color w:val="272727" w:themeColor="text1" w:themeTint="D8"/>
    </w:rPr>
  </w:style>
  <w:style w:type="paragraph" w:styleId="Ttulo">
    <w:name w:val="Title"/>
    <w:basedOn w:val="Normal"/>
    <w:next w:val="Normal"/>
    <w:link w:val="TtuloCar"/>
    <w:uiPriority w:val="10"/>
    <w:qFormat/>
    <w:rsid w:val="00EF1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1C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1C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1C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1C46"/>
    <w:pPr>
      <w:spacing w:before="160"/>
      <w:jc w:val="center"/>
    </w:pPr>
    <w:rPr>
      <w:i/>
      <w:iCs/>
      <w:color w:val="404040" w:themeColor="text1" w:themeTint="BF"/>
    </w:rPr>
  </w:style>
  <w:style w:type="character" w:customStyle="1" w:styleId="CitaCar">
    <w:name w:val="Cita Car"/>
    <w:basedOn w:val="Fuentedeprrafopredeter"/>
    <w:link w:val="Cita"/>
    <w:uiPriority w:val="29"/>
    <w:rsid w:val="00EF1C46"/>
    <w:rPr>
      <w:i/>
      <w:iCs/>
      <w:color w:val="404040" w:themeColor="text1" w:themeTint="BF"/>
    </w:rPr>
  </w:style>
  <w:style w:type="paragraph" w:styleId="Prrafodelista">
    <w:name w:val="List Paragraph"/>
    <w:basedOn w:val="Normal"/>
    <w:uiPriority w:val="34"/>
    <w:qFormat/>
    <w:rsid w:val="00EF1C46"/>
    <w:pPr>
      <w:ind w:left="720"/>
      <w:contextualSpacing/>
    </w:pPr>
  </w:style>
  <w:style w:type="character" w:styleId="nfasisintenso">
    <w:name w:val="Intense Emphasis"/>
    <w:basedOn w:val="Fuentedeprrafopredeter"/>
    <w:uiPriority w:val="21"/>
    <w:qFormat/>
    <w:rsid w:val="00EF1C46"/>
    <w:rPr>
      <w:i/>
      <w:iCs/>
      <w:color w:val="0F4761" w:themeColor="accent1" w:themeShade="BF"/>
    </w:rPr>
  </w:style>
  <w:style w:type="paragraph" w:styleId="Citadestacada">
    <w:name w:val="Intense Quote"/>
    <w:basedOn w:val="Normal"/>
    <w:next w:val="Normal"/>
    <w:link w:val="CitadestacadaCar"/>
    <w:uiPriority w:val="30"/>
    <w:qFormat/>
    <w:rsid w:val="00EF1C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1C46"/>
    <w:rPr>
      <w:i/>
      <w:iCs/>
      <w:color w:val="0F4761" w:themeColor="accent1" w:themeShade="BF"/>
    </w:rPr>
  </w:style>
  <w:style w:type="character" w:styleId="Referenciaintensa">
    <w:name w:val="Intense Reference"/>
    <w:basedOn w:val="Fuentedeprrafopredeter"/>
    <w:uiPriority w:val="32"/>
    <w:qFormat/>
    <w:rsid w:val="00EF1C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422</Words>
  <Characters>2325</Characters>
  <Application>Microsoft Office Word</Application>
  <DocSecurity>0</DocSecurity>
  <Lines>19</Lines>
  <Paragraphs>5</Paragraphs>
  <ScaleCrop>false</ScaleCrop>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Edyn Alvaro Berrio Miranda</dc:creator>
  <cp:keywords/>
  <dc:description/>
  <cp:lastModifiedBy>Edyn Alvaro Berrio Miranda</cp:lastModifiedBy>
  <cp:revision>2</cp:revision>
  <dcterms:created xsi:type="dcterms:W3CDTF">2026-06-10T07:59:00Z</dcterms:created>
  <dcterms:modified xsi:type="dcterms:W3CDTF">2026-06-10T07:59:00Z</dcterms:modified>
</cp:coreProperties>
</file>