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94B0" w14:textId="065FD5C3" w:rsidR="00C20EF0" w:rsidRDefault="00C20EF0" w:rsidP="00C20EF0">
      <w:pPr>
        <w:jc w:val="both"/>
      </w:pPr>
      <w:r>
        <w:t>Respecto de la solicitud de suministro o reconocimiento de transporte para acceder a los servicios de salud requeridos por el accionante, EPS SURA se permite informar que el transporte constituye un mecanismo de acceso a los servicios de salud y no una prestación médica autónoma. Por tal razón, su reconocimiento debe analizarse conforme a los criterios establecidos por la normativa vigente y la jurisprudencia constitucional, atendiendo las circunstancias particulares de cada caso.</w:t>
      </w:r>
    </w:p>
    <w:p w14:paraId="761C5C2A" w14:textId="139BB97F" w:rsidR="00C20EF0" w:rsidRDefault="00C20EF0" w:rsidP="00C20EF0">
      <w:pPr>
        <w:jc w:val="both"/>
      </w:pPr>
      <w:r>
        <w:t>En primer lugar, la Resolución 2765 de 2025 establece que los servicios financiados con recursos de la Unidad de Pago por Capitación (UPC) incluyen el traslado de pacientes en ambulancia cuando la condición clínica así lo requiera, así como determinadas hipótesis de transporte de pacientes remitidos entre instituciones prestadoras de servicios de salud. Asimismo, la regulación contempla la financiación del transporte ambulatorio únicamente en los eventos expresamente definidos por la norma.</w:t>
      </w:r>
    </w:p>
    <w:p w14:paraId="1F954E7B" w14:textId="60EAD32C" w:rsidR="00C20EF0" w:rsidRDefault="00C20EF0" w:rsidP="00C20EF0">
      <w:pPr>
        <w:jc w:val="both"/>
      </w:pPr>
      <w:r>
        <w:t>En ese sentido, el artículo 106 de la citada resolución dispone que el transporte del paciente ambulatorio podrá ser financiado cuando el servicio de salud requerido no se encuentre disponible en el área o municipio de residencia del afiliado, o cuando la EPS haya debido remitir al usuario a un municipio distinto para garantizar la prestación efectiva del servicio. Por tanto, la procedencia del transporte no opera de manera automática frente a cualquier desplazamiento relacionado con la atención en salud.</w:t>
      </w:r>
    </w:p>
    <w:p w14:paraId="4E0AA562" w14:textId="4DEFB6AB" w:rsidR="00C20EF0" w:rsidRDefault="00C20EF0" w:rsidP="00C20EF0">
      <w:pPr>
        <w:jc w:val="both"/>
      </w:pPr>
      <w:r>
        <w:t>Adicionalmente, la Corte Constitucional ha señalado de manera reiterada que el transporte en salud tiene carácter excepcional y procede únicamente cuando su ausencia se convierte en una barrera real para el acceso efectivo a los servicios médicos requeridos. En tal sentido, la jurisprudencia ha precisado que corresponde analizar factores como la condición clínica del paciente, la necesidad objetiva del desplazamiento, la existencia o no de servicios disponibles en el lugar de residencia y las condiciones económicas del usuario y su núcleo familiar.</w:t>
      </w:r>
    </w:p>
    <w:p w14:paraId="49B4DACC" w14:textId="724AB786" w:rsidR="00C20EF0" w:rsidRDefault="00C20EF0" w:rsidP="00C20EF0">
      <w:pPr>
        <w:jc w:val="both"/>
      </w:pPr>
      <w:r>
        <w:t>De igual manera, el alto tribunal ha sostenido que, como regla general, los gastos de transporte deben ser asumidos por el usuario o su familia en aplicación del principio de solidaridad que rige el Sistema General de Seguridad Social en Salud. Solo cuando se acrediten circunstancias excepcionales que impidan materialmente el acceso al servicio médico puede trasladarse dicha obligación a la EPS.</w:t>
      </w:r>
    </w:p>
    <w:p w14:paraId="7673DD51" w14:textId="4CA013C3" w:rsidR="00C20EF0" w:rsidRDefault="00C20EF0" w:rsidP="00C20EF0">
      <w:pPr>
        <w:jc w:val="both"/>
      </w:pPr>
      <w:r>
        <w:t>VARIABLE: SI NO EXISTE REMISIÓN A OTRO MUNICIPIO</w:t>
      </w:r>
    </w:p>
    <w:p w14:paraId="55FE5F37" w14:textId="77777777" w:rsidR="00C20EF0" w:rsidRDefault="00C20EF0" w:rsidP="00C20EF0">
      <w:pPr>
        <w:jc w:val="both"/>
      </w:pPr>
      <w:r>
        <w:t xml:space="preserve">En el caso concreto, no se evidencia remisión alguna a un municipio diferente al de residencia del accionante ni se encuentra acreditado que los servicios requeridos no puedan ser prestados dentro de la red disponible para su lugar de atención. En </w:t>
      </w:r>
      <w:r>
        <w:lastRenderedPageBreak/>
        <w:t>consecuencia, no se configuran los presupuestos normativos ni jurisprudenciales que permitan atribuir a EPS SURA la obligación de asumir el transporte solicitado.</w:t>
      </w:r>
    </w:p>
    <w:p w14:paraId="1A97A550" w14:textId="77777777" w:rsidR="00C20EF0" w:rsidRDefault="00C20EF0" w:rsidP="00C20EF0">
      <w:pPr>
        <w:jc w:val="both"/>
      </w:pPr>
    </w:p>
    <w:p w14:paraId="46ADA9DB" w14:textId="77777777" w:rsidR="00C20EF0" w:rsidRDefault="00C20EF0" w:rsidP="00C20EF0">
      <w:pPr>
        <w:jc w:val="both"/>
      </w:pPr>
      <w:r>
        <w:t>Tampoco obra prueba que permita concluir que la ausencia del reconocimiento económico solicitado constituya una barrera efectiva de acceso a los servicios de salud, razón por la cual no se advierte vulneración alguna de los derechos fundamentales invocados.</w:t>
      </w:r>
    </w:p>
    <w:p w14:paraId="0F5A0E74" w14:textId="77777777" w:rsidR="00C20EF0" w:rsidRDefault="00C20EF0" w:rsidP="00C20EF0">
      <w:pPr>
        <w:jc w:val="both"/>
      </w:pPr>
    </w:p>
    <w:p w14:paraId="0CE92E18" w14:textId="77777777" w:rsidR="00C20EF0" w:rsidRDefault="00C20EF0" w:rsidP="00C20EF0">
      <w:pPr>
        <w:jc w:val="both"/>
      </w:pPr>
      <w:r>
        <w:t>Por lo anterior, se solicita al despacho negar la pretensión relacionada con el reconocimiento de transporte, al no acreditarse los requisitos exigidos para su procedencia excepcional.</w:t>
      </w:r>
    </w:p>
    <w:p w14:paraId="6899F9CD" w14:textId="77777777" w:rsidR="00C20EF0" w:rsidRDefault="00C20EF0" w:rsidP="00C20EF0">
      <w:pPr>
        <w:jc w:val="both"/>
      </w:pPr>
    </w:p>
    <w:p w14:paraId="76111851" w14:textId="77777777" w:rsidR="00C20EF0" w:rsidRDefault="00C20EF0" w:rsidP="00C20EF0">
      <w:pPr>
        <w:jc w:val="both"/>
      </w:pPr>
      <w:r>
        <w:t>VARIABLE: SI EXISTE REMISIÓN A OTRO MUNICIPIO</w:t>
      </w:r>
    </w:p>
    <w:p w14:paraId="08DEDC62" w14:textId="77777777" w:rsidR="00C20EF0" w:rsidRDefault="00C20EF0" w:rsidP="00C20EF0">
      <w:pPr>
        <w:jc w:val="both"/>
      </w:pPr>
    </w:p>
    <w:p w14:paraId="68B93FF1" w14:textId="77777777" w:rsidR="00C20EF0" w:rsidRDefault="00C20EF0" w:rsidP="00C20EF0">
      <w:pPr>
        <w:jc w:val="both"/>
      </w:pPr>
      <w:r>
        <w:t>Ahora bien, en caso de evidenciarse una remisión a un municipio distinto al de residencia del usuario, debe precisarse que dicha circunstancia, por sí sola, no genera automáticamente la obligación de reconocer el transporte solicitado.</w:t>
      </w:r>
    </w:p>
    <w:p w14:paraId="25D6DE10" w14:textId="77777777" w:rsidR="00C20EF0" w:rsidRDefault="00C20EF0" w:rsidP="00C20EF0">
      <w:pPr>
        <w:jc w:val="both"/>
      </w:pPr>
    </w:p>
    <w:p w14:paraId="3F11D9AA" w14:textId="77777777" w:rsidR="00C20EF0" w:rsidRDefault="00C20EF0" w:rsidP="00C20EF0">
      <w:pPr>
        <w:jc w:val="both"/>
      </w:pPr>
      <w:r>
        <w:t>La jurisprudencia constitucional ha establecido que, además de la remisión, debe acreditarse que el usuario enfrenta una barrera real para acceder al servicio, derivada de condiciones económicas, físicas o materiales que le impidan asumir el desplazamiento por sus propios medios. Tales circunstancias deben encontrarse suficientemente demostradas dentro del expediente constitucional.</w:t>
      </w:r>
    </w:p>
    <w:p w14:paraId="2AD81E09" w14:textId="77777777" w:rsidR="00C20EF0" w:rsidRDefault="00C20EF0" w:rsidP="00C20EF0">
      <w:pPr>
        <w:jc w:val="both"/>
      </w:pPr>
    </w:p>
    <w:p w14:paraId="4004F97D" w14:textId="77777777" w:rsidR="00C20EF0" w:rsidRDefault="00C20EF0" w:rsidP="00C20EF0">
      <w:pPr>
        <w:jc w:val="both"/>
      </w:pPr>
      <w:r>
        <w:t>En consecuencia, aun cuando exista remisión a otro municipio, corresponde al despacho verificar si se encuentran acreditados los requisitos excepcionales que justificarían el reconocimiento del transporte con cargo al Sistema General de Seguridad Social en Salud, sin que dicha obligación pueda presumirse automáticamente.</w:t>
      </w:r>
    </w:p>
    <w:p w14:paraId="19E40F6C" w14:textId="77777777" w:rsidR="00C20EF0" w:rsidRDefault="00C20EF0" w:rsidP="00C20EF0">
      <w:pPr>
        <w:jc w:val="both"/>
      </w:pPr>
    </w:p>
    <w:p w14:paraId="5D3061FF" w14:textId="77777777" w:rsidR="00C20EF0" w:rsidRDefault="00C20EF0" w:rsidP="00C20EF0">
      <w:pPr>
        <w:jc w:val="both"/>
      </w:pPr>
      <w:r>
        <w:t>VARIABLE: SI EL USUARIO NO HA REPORTADO CAMBIO DE RESIDENCIA</w:t>
      </w:r>
    </w:p>
    <w:p w14:paraId="242C6395" w14:textId="77777777" w:rsidR="00C20EF0" w:rsidRDefault="00C20EF0" w:rsidP="00C20EF0">
      <w:pPr>
        <w:jc w:val="both"/>
      </w:pPr>
    </w:p>
    <w:p w14:paraId="55F50CD7" w14:textId="77777777" w:rsidR="00C20EF0" w:rsidRDefault="00C20EF0" w:rsidP="00C20EF0">
      <w:pPr>
        <w:jc w:val="both"/>
      </w:pPr>
      <w:r>
        <w:lastRenderedPageBreak/>
        <w:t>Finalmente, se pone de presente que los afiliados tienen el deber legal de mantener actualizada su información básica dentro del Sistema General de Seguridad Social en Salud, incluyendo su dirección y municipio de residencia. En caso de evidenciarse que el accionante recibe atención en una ciudad diferente a aquella que figura registrada en las bases de datos de afiliación, sin haber reportado oportunamente dicha novedad, las dificultades derivadas de dicha situación no pueden ser atribuidas a EPS SURA, toda vez que la organización de la red prestadora y la gestión de los servicios dependen de la información suministrada por el propio usuario.</w:t>
      </w:r>
    </w:p>
    <w:p w14:paraId="34FA7969" w14:textId="77777777" w:rsidR="00C20EF0" w:rsidRDefault="00C20EF0" w:rsidP="00C20EF0">
      <w:pPr>
        <w:jc w:val="both"/>
      </w:pPr>
    </w:p>
    <w:p w14:paraId="51D9ACAE" w14:textId="08107ACE" w:rsidR="00667CEF" w:rsidRDefault="00C20EF0" w:rsidP="00C20EF0">
      <w:pPr>
        <w:jc w:val="both"/>
      </w:pPr>
      <w:r>
        <w:t>Por tanto, cualquier análisis sobre la procedencia del transporte solicitado deberá considerar la información oficial de afiliación vigente y el cumplimiento de los deberes legales que corresponden al afiliado dentro del sistema de salud.</w:t>
      </w:r>
    </w:p>
    <w:sectPr w:rsidR="00667C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EF"/>
    <w:rsid w:val="00667CEF"/>
    <w:rsid w:val="00826741"/>
    <w:rsid w:val="00C20E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BE354"/>
  <w15:chartTrackingRefBased/>
  <w15:docId w15:val="{6E6606D3-132A-483E-A43F-6C03994E0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7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7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7C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7C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7C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7C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7C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7C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7C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C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7C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7C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7C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7C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7C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7C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7C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7CEF"/>
    <w:rPr>
      <w:rFonts w:eastAsiaTheme="majorEastAsia" w:cstheme="majorBidi"/>
      <w:color w:val="272727" w:themeColor="text1" w:themeTint="D8"/>
    </w:rPr>
  </w:style>
  <w:style w:type="paragraph" w:styleId="Ttulo">
    <w:name w:val="Title"/>
    <w:basedOn w:val="Normal"/>
    <w:next w:val="Normal"/>
    <w:link w:val="TtuloCar"/>
    <w:uiPriority w:val="10"/>
    <w:qFormat/>
    <w:rsid w:val="00667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7C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7C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7C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7CEF"/>
    <w:pPr>
      <w:spacing w:before="160"/>
      <w:jc w:val="center"/>
    </w:pPr>
    <w:rPr>
      <w:i/>
      <w:iCs/>
      <w:color w:val="404040" w:themeColor="text1" w:themeTint="BF"/>
    </w:rPr>
  </w:style>
  <w:style w:type="character" w:customStyle="1" w:styleId="CitaCar">
    <w:name w:val="Cita Car"/>
    <w:basedOn w:val="Fuentedeprrafopredeter"/>
    <w:link w:val="Cita"/>
    <w:uiPriority w:val="29"/>
    <w:rsid w:val="00667CEF"/>
    <w:rPr>
      <w:i/>
      <w:iCs/>
      <w:color w:val="404040" w:themeColor="text1" w:themeTint="BF"/>
    </w:rPr>
  </w:style>
  <w:style w:type="paragraph" w:styleId="Prrafodelista">
    <w:name w:val="List Paragraph"/>
    <w:basedOn w:val="Normal"/>
    <w:uiPriority w:val="34"/>
    <w:qFormat/>
    <w:rsid w:val="00667CEF"/>
    <w:pPr>
      <w:ind w:left="720"/>
      <w:contextualSpacing/>
    </w:pPr>
  </w:style>
  <w:style w:type="character" w:styleId="nfasisintenso">
    <w:name w:val="Intense Emphasis"/>
    <w:basedOn w:val="Fuentedeprrafopredeter"/>
    <w:uiPriority w:val="21"/>
    <w:qFormat/>
    <w:rsid w:val="00667CEF"/>
    <w:rPr>
      <w:i/>
      <w:iCs/>
      <w:color w:val="0F4761" w:themeColor="accent1" w:themeShade="BF"/>
    </w:rPr>
  </w:style>
  <w:style w:type="paragraph" w:styleId="Citadestacada">
    <w:name w:val="Intense Quote"/>
    <w:basedOn w:val="Normal"/>
    <w:next w:val="Normal"/>
    <w:link w:val="CitadestacadaCar"/>
    <w:uiPriority w:val="30"/>
    <w:qFormat/>
    <w:rsid w:val="00667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7CEF"/>
    <w:rPr>
      <w:i/>
      <w:iCs/>
      <w:color w:val="0F4761" w:themeColor="accent1" w:themeShade="BF"/>
    </w:rPr>
  </w:style>
  <w:style w:type="character" w:styleId="Referenciaintensa">
    <w:name w:val="Intense Reference"/>
    <w:basedOn w:val="Fuentedeprrafopredeter"/>
    <w:uiPriority w:val="32"/>
    <w:qFormat/>
    <w:rsid w:val="00667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815</Words>
  <Characters>4487</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Edyn Alvaro Berrio Miranda</dc:creator>
  <cp:keywords/>
  <dc:description/>
  <cp:lastModifiedBy>Edyn Alvaro Berrio Miranda</cp:lastModifiedBy>
  <cp:revision>2</cp:revision>
  <dcterms:created xsi:type="dcterms:W3CDTF">2026-06-10T08:04:00Z</dcterms:created>
  <dcterms:modified xsi:type="dcterms:W3CDTF">2026-06-10T08:04:00Z</dcterms:modified>
</cp:coreProperties>
</file>