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C86B" w14:textId="77777777" w:rsidR="00FF314F" w:rsidRDefault="00FF314F" w:rsidP="00FF314F">
      <w:pPr>
        <w:jc w:val="both"/>
      </w:pPr>
      <w:r>
        <w:t>IMPROCEDENCIA DEL TRATAMIENTO INTEGRAL</w:t>
      </w:r>
    </w:p>
    <w:p w14:paraId="7F7192B9" w14:textId="77777777" w:rsidR="00FF314F" w:rsidRDefault="00FF314F" w:rsidP="00FF314F">
      <w:pPr>
        <w:jc w:val="both"/>
      </w:pPr>
    </w:p>
    <w:p w14:paraId="4316CBF4" w14:textId="77777777" w:rsidR="00FF314F" w:rsidRDefault="00FF314F" w:rsidP="00FF314F">
      <w:pPr>
        <w:jc w:val="both"/>
      </w:pPr>
      <w:r>
        <w:t>Respecto de la pretensión encaminada a obtener una orden de tratamiento integral, EPS SURA se permite manifestar que dicha solicitud debe analizarse conforme a los criterios fijados por la Corte Constitucional en materia de protección del derecho fundamental a la salud y a los límites funcionales de la acción de tutela.</w:t>
      </w:r>
    </w:p>
    <w:p w14:paraId="5C9B1626" w14:textId="77777777" w:rsidR="00FF314F" w:rsidRDefault="00FF314F" w:rsidP="00FF314F">
      <w:pPr>
        <w:jc w:val="both"/>
      </w:pPr>
    </w:p>
    <w:p w14:paraId="44AD86B9" w14:textId="77777777" w:rsidR="00FF314F" w:rsidRDefault="00FF314F" w:rsidP="00FF314F">
      <w:pPr>
        <w:jc w:val="both"/>
      </w:pPr>
      <w:r>
        <w:t>La jurisprudencia constitucional ha precisado que el principio de integralidad garantiza que los servicios requeridos por el usuario sean suministrados de manera completa, continua y efectiva, siempre que exista una determinación médica concreta que permita identificar las tecnologías, procedimientos, medicamentos o servicios necesarios para el manejo de la condición clínica del paciente. En consecuencia, dicho principio no habilita la expedición de órdenes generales e indeterminadas respecto de prestaciones futuras e inciertas.</w:t>
      </w:r>
    </w:p>
    <w:p w14:paraId="501635A8" w14:textId="77777777" w:rsidR="00FF314F" w:rsidRDefault="00FF314F" w:rsidP="00FF314F">
      <w:pPr>
        <w:jc w:val="both"/>
      </w:pPr>
    </w:p>
    <w:p w14:paraId="7F154EAF" w14:textId="77777777" w:rsidR="00FF314F" w:rsidRDefault="00FF314F" w:rsidP="00FF314F">
      <w:pPr>
        <w:jc w:val="both"/>
      </w:pPr>
      <w:r>
        <w:t>La Corte Constitucional ha señalado que las órdenes impartidas por el juez de tutela deben ser precisas, verificables y susceptibles de cumplimiento, evitando decisiones abiertas que impliquen el reconocimiento anticipado de servicios que no han sido prescritos ni valorados por el profesional tratante.</w:t>
      </w:r>
    </w:p>
    <w:p w14:paraId="6F789BEA" w14:textId="77777777" w:rsidR="00FF314F" w:rsidRDefault="00FF314F" w:rsidP="00FF314F">
      <w:pPr>
        <w:jc w:val="both"/>
      </w:pPr>
    </w:p>
    <w:p w14:paraId="01024218" w14:textId="77777777" w:rsidR="00FF314F" w:rsidRDefault="00FF314F" w:rsidP="00FF314F">
      <w:pPr>
        <w:jc w:val="both"/>
      </w:pPr>
      <w:r>
        <w:t>Adicionalmente, el alto tribunal ha reiterado que el principio de integralidad no constituye una autorización para que el usuario reciba cualquier servicio que considere conveniente o beneficioso, sino que la determinación de las prestaciones requeridas corresponde exclusivamente al médico tratante, quien cuenta con los conocimientos científicos y clínicos necesarios para definir el manejo adecuado de cada paciente.</w:t>
      </w:r>
    </w:p>
    <w:p w14:paraId="4EAE3D5A" w14:textId="77777777" w:rsidR="00FF314F" w:rsidRDefault="00FF314F" w:rsidP="00FF314F">
      <w:pPr>
        <w:jc w:val="both"/>
      </w:pPr>
    </w:p>
    <w:p w14:paraId="0D748D1A" w14:textId="77777777" w:rsidR="00FF314F" w:rsidRDefault="00FF314F" w:rsidP="00FF314F">
      <w:pPr>
        <w:jc w:val="both"/>
      </w:pPr>
      <w:r>
        <w:t>Por lo anterior, una orden de tratamiento integral no puede convertirse en una autorización indefinida para el suministro futuro de servicios, procedimientos, medicamentos o tecnologías que no hayan sido previamente prescritos, pues ello implicaría sustituir la autonomía médica y desbordar las competencias propias del juez constitucional.</w:t>
      </w:r>
    </w:p>
    <w:p w14:paraId="4B55D07F" w14:textId="77777777" w:rsidR="00FF314F" w:rsidRDefault="00FF314F" w:rsidP="00FF314F">
      <w:pPr>
        <w:jc w:val="both"/>
      </w:pPr>
    </w:p>
    <w:p w14:paraId="362C7EDD" w14:textId="77777777" w:rsidR="00FF314F" w:rsidRDefault="00FF314F" w:rsidP="00FF314F">
      <w:pPr>
        <w:jc w:val="both"/>
      </w:pPr>
      <w:r>
        <w:t>VARIABLE: NO EXISTE NEGLIGENCIA DE EPS</w:t>
      </w:r>
    </w:p>
    <w:p w14:paraId="640BBF3F" w14:textId="77777777" w:rsidR="00FF314F" w:rsidRDefault="00FF314F" w:rsidP="00FF314F">
      <w:pPr>
        <w:jc w:val="both"/>
      </w:pPr>
    </w:p>
    <w:p w14:paraId="31B4C15C" w14:textId="77777777" w:rsidR="00FF314F" w:rsidRDefault="00FF314F" w:rsidP="00FF314F">
      <w:pPr>
        <w:jc w:val="both"/>
      </w:pPr>
      <w:r>
        <w:lastRenderedPageBreak/>
        <w:t>En el caso concreto, no se evidencia conducta negligente atribuible a EPS SURA. Por el contrario, la entidad ha garantizado el acceso a los servicios de salud requeridos por el usuario, gestionando las autorizaciones correspondientes conforme a las órdenes emitidas por los profesionales tratantes y dentro de los parámetros establecidos por la normativa vigente.</w:t>
      </w:r>
    </w:p>
    <w:p w14:paraId="7E6AA85B" w14:textId="77777777" w:rsidR="00FF314F" w:rsidRDefault="00FF314F" w:rsidP="00FF314F">
      <w:pPr>
        <w:jc w:val="both"/>
      </w:pPr>
    </w:p>
    <w:p w14:paraId="5CC9A544" w14:textId="77777777" w:rsidR="00FF314F" w:rsidRDefault="00FF314F" w:rsidP="00FF314F">
      <w:pPr>
        <w:jc w:val="both"/>
      </w:pPr>
      <w:r>
        <w:t>No se encuentra acreditada una negativa injustificada de servicios ni una interrupción arbitraria de tratamientos que permita concluir la existencia de una vulneración sistemática del derecho fundamental a la salud.</w:t>
      </w:r>
    </w:p>
    <w:p w14:paraId="3ED6056F" w14:textId="77777777" w:rsidR="00FF314F" w:rsidRDefault="00FF314F" w:rsidP="00FF314F">
      <w:pPr>
        <w:jc w:val="both"/>
      </w:pPr>
    </w:p>
    <w:p w14:paraId="339B4419" w14:textId="77777777" w:rsidR="00FF314F" w:rsidRDefault="00FF314F" w:rsidP="00FF314F">
      <w:pPr>
        <w:jc w:val="both"/>
      </w:pPr>
      <w:r>
        <w:t>VARIABLE: NO EXISTEN ÓRDENES MÉDICAS PENDIENTES</w:t>
      </w:r>
    </w:p>
    <w:p w14:paraId="66904593" w14:textId="77777777" w:rsidR="00FF314F" w:rsidRDefault="00FF314F" w:rsidP="00FF314F">
      <w:pPr>
        <w:jc w:val="both"/>
      </w:pPr>
    </w:p>
    <w:p w14:paraId="47CA1814" w14:textId="77777777" w:rsidR="00FF314F" w:rsidRDefault="00FF314F" w:rsidP="00FF314F">
      <w:pPr>
        <w:jc w:val="both"/>
      </w:pPr>
      <w:r>
        <w:t>De igual manera, no obran dentro del expediente órdenes médicas pendientes de autorización o ejecución que permitan evidenciar una atención fragmentada o insuficiente.</w:t>
      </w:r>
    </w:p>
    <w:p w14:paraId="2F0AA4E3" w14:textId="77777777" w:rsidR="00FF314F" w:rsidRDefault="00FF314F" w:rsidP="00FF314F">
      <w:pPr>
        <w:jc w:val="both"/>
      </w:pPr>
    </w:p>
    <w:p w14:paraId="46646857" w14:textId="77777777" w:rsidR="00FF314F" w:rsidRDefault="00FF314F" w:rsidP="00FF314F">
      <w:pPr>
        <w:jc w:val="both"/>
      </w:pPr>
      <w:r>
        <w:t>Por el contrario, la atención del usuario se ha desarrollado de conformidad con las prescripciones emitidas por los profesionales tratantes, garantizando la continuidad de los servicios requeridos según su condición clínica.</w:t>
      </w:r>
    </w:p>
    <w:p w14:paraId="15039D36" w14:textId="77777777" w:rsidR="00FF314F" w:rsidRDefault="00FF314F" w:rsidP="00FF314F">
      <w:pPr>
        <w:jc w:val="both"/>
      </w:pPr>
    </w:p>
    <w:p w14:paraId="46B2DEA8" w14:textId="77777777" w:rsidR="00FF314F" w:rsidRDefault="00FF314F" w:rsidP="00FF314F">
      <w:pPr>
        <w:jc w:val="both"/>
      </w:pPr>
      <w:r>
        <w:t>En tales circunstancias, no se configura el requisito jurisprudencial relacionado con la existencia de prestaciones determinadas cuya omisión haga necesaria una orden judicial de carácter integral.</w:t>
      </w:r>
    </w:p>
    <w:p w14:paraId="5714BC28" w14:textId="77777777" w:rsidR="00FF314F" w:rsidRDefault="00FF314F" w:rsidP="00FF314F">
      <w:pPr>
        <w:jc w:val="both"/>
      </w:pPr>
    </w:p>
    <w:p w14:paraId="51831E4D" w14:textId="77777777" w:rsidR="00FF314F" w:rsidRDefault="00FF314F" w:rsidP="00FF314F">
      <w:pPr>
        <w:jc w:val="both"/>
      </w:pPr>
      <w:r>
        <w:t>VARIABLE: EXISTE HISTORIAL DE AUTORIZACIONES</w:t>
      </w:r>
    </w:p>
    <w:p w14:paraId="2E2E4CA9" w14:textId="77777777" w:rsidR="00FF314F" w:rsidRDefault="00FF314F" w:rsidP="00FF314F">
      <w:pPr>
        <w:jc w:val="both"/>
      </w:pPr>
    </w:p>
    <w:p w14:paraId="413FBD52" w14:textId="77777777" w:rsidR="00FF314F" w:rsidRDefault="00FF314F" w:rsidP="00FF314F">
      <w:pPr>
        <w:jc w:val="both"/>
      </w:pPr>
      <w:r>
        <w:t>Se evidencia igualmente que EPS SURA ha autorizado y gestionado de manera continua los servicios requeridos por el usuario, circunstancia que puede verificarse mediante el historial de utilizaciones y autorizaciones que se aporta al expediente.</w:t>
      </w:r>
    </w:p>
    <w:p w14:paraId="454EC908" w14:textId="77777777" w:rsidR="00FF314F" w:rsidRDefault="00FF314F" w:rsidP="00FF314F">
      <w:pPr>
        <w:jc w:val="both"/>
      </w:pPr>
    </w:p>
    <w:p w14:paraId="7A83145D" w14:textId="77777777" w:rsidR="00FF314F" w:rsidRDefault="00FF314F" w:rsidP="00FF314F">
      <w:pPr>
        <w:jc w:val="both"/>
      </w:pPr>
      <w:r>
        <w:lastRenderedPageBreak/>
        <w:t>Dicho historial demuestra que la entidad ha venido garantizando la prestación de los servicios de salud requeridos, sin que se observe una conducta reiterada de incumplimiento que justifique una medida excepcional de tratamiento integral.</w:t>
      </w:r>
    </w:p>
    <w:p w14:paraId="11B13989" w14:textId="77777777" w:rsidR="00FF314F" w:rsidRDefault="00FF314F" w:rsidP="00FF314F">
      <w:pPr>
        <w:jc w:val="both"/>
      </w:pPr>
    </w:p>
    <w:p w14:paraId="56F8F916" w14:textId="77777777" w:rsidR="00FF314F" w:rsidRDefault="00FF314F" w:rsidP="00FF314F">
      <w:pPr>
        <w:jc w:val="both"/>
      </w:pPr>
      <w:r>
        <w:t>VARIABLE: EXISTE SUJETO DE ESPECIAL PROTECCIÓN</w:t>
      </w:r>
    </w:p>
    <w:p w14:paraId="2878A34D" w14:textId="77777777" w:rsidR="00FF314F" w:rsidRDefault="00FF314F" w:rsidP="00FF314F">
      <w:pPr>
        <w:jc w:val="both"/>
      </w:pPr>
    </w:p>
    <w:p w14:paraId="371D8070" w14:textId="77777777" w:rsidR="00FF314F" w:rsidRDefault="00FF314F" w:rsidP="00FF314F">
      <w:pPr>
        <w:jc w:val="both"/>
      </w:pPr>
      <w:r>
        <w:t>Aun cuando el accionante ostente la calidad de sujeto de especial protección constitucional o presente una condición clínica de especial vulnerabilidad, la jurisprudencia ha precisado que esta circunstancia, por sí sola, no genera automáticamente la procedencia del tratamiento integral.</w:t>
      </w:r>
    </w:p>
    <w:p w14:paraId="01D51CC3" w14:textId="77777777" w:rsidR="00FF314F" w:rsidRDefault="00FF314F" w:rsidP="00FF314F">
      <w:pPr>
        <w:jc w:val="both"/>
      </w:pPr>
    </w:p>
    <w:p w14:paraId="67BD10AC" w14:textId="77777777" w:rsidR="00FF314F" w:rsidRDefault="00FF314F" w:rsidP="00FF314F">
      <w:pPr>
        <w:jc w:val="both"/>
      </w:pPr>
      <w:r>
        <w:t>Para la configuración de dicha medida también resulta indispensable acreditar la existencia de órdenes médicas concretas y una conducta negligente por parte de la entidad encargada de garantizar la atención en salud.</w:t>
      </w:r>
    </w:p>
    <w:p w14:paraId="5B357A4A" w14:textId="77777777" w:rsidR="00FF314F" w:rsidRDefault="00FF314F" w:rsidP="00FF314F">
      <w:pPr>
        <w:jc w:val="both"/>
      </w:pPr>
    </w:p>
    <w:p w14:paraId="2DA157A1" w14:textId="77777777" w:rsidR="00FF314F" w:rsidRDefault="00FF314F" w:rsidP="00FF314F">
      <w:pPr>
        <w:jc w:val="both"/>
      </w:pPr>
      <w:r>
        <w:t>CONCLUSIÓN</w:t>
      </w:r>
    </w:p>
    <w:p w14:paraId="21AB80CD" w14:textId="77777777" w:rsidR="00FF314F" w:rsidRDefault="00FF314F" w:rsidP="00FF314F">
      <w:pPr>
        <w:jc w:val="both"/>
      </w:pPr>
    </w:p>
    <w:p w14:paraId="4B78EC9F" w14:textId="77777777" w:rsidR="00FF314F" w:rsidRDefault="00FF314F" w:rsidP="00FF314F">
      <w:pPr>
        <w:jc w:val="both"/>
      </w:pPr>
      <w:r>
        <w:t>En consecuencia, al no encontrarse acreditados de manera concurrente los requisitos establecidos por la jurisprudencia constitucional para la procedencia excepcional del tratamiento integral, esto es, la existencia de una conducta negligente atribuible a la EPS, la presencia de órdenes médicas específicas pendientes de ejecución y la necesidad de evitar una vulneración actual o inminente de los derechos fundamentales del usuario, no resulta jurídicamente procedente acceder a la pretensión formulada.</w:t>
      </w:r>
    </w:p>
    <w:p w14:paraId="791A79C8" w14:textId="77777777" w:rsidR="00FF314F" w:rsidRDefault="00FF314F" w:rsidP="00FF314F">
      <w:pPr>
        <w:jc w:val="both"/>
      </w:pPr>
    </w:p>
    <w:p w14:paraId="1D4EEDA7" w14:textId="07BEEEB0" w:rsidR="00396919" w:rsidRDefault="00FF314F" w:rsidP="00FF314F">
      <w:pPr>
        <w:jc w:val="both"/>
      </w:pPr>
      <w:r>
        <w:t>Acceder a una orden genérica de tratamiento integral implicaría trasladar al juez funciones propias del médico tratante, autorizar prestaciones futuras e inciertas y generar obligaciones indeterminadas contrarias a los principios de legalidad, eficiencia, sostenibilidad y racionalidad que gobiernan el Sistema General de Seguridad Social en Salud.</w:t>
      </w:r>
    </w:p>
    <w:sectPr w:rsidR="003969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919"/>
    <w:rsid w:val="00177947"/>
    <w:rsid w:val="00396919"/>
    <w:rsid w:val="00FF31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E4D87"/>
  <w15:chartTrackingRefBased/>
  <w15:docId w15:val="{F6E52931-226A-475D-B8ED-7CC74141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96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96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969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69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69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69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69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69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69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69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969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969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69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69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69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69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69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6919"/>
    <w:rPr>
      <w:rFonts w:eastAsiaTheme="majorEastAsia" w:cstheme="majorBidi"/>
      <w:color w:val="272727" w:themeColor="text1" w:themeTint="D8"/>
    </w:rPr>
  </w:style>
  <w:style w:type="paragraph" w:styleId="Ttulo">
    <w:name w:val="Title"/>
    <w:basedOn w:val="Normal"/>
    <w:next w:val="Normal"/>
    <w:link w:val="TtuloCar"/>
    <w:uiPriority w:val="10"/>
    <w:qFormat/>
    <w:rsid w:val="00396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69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69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69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6919"/>
    <w:pPr>
      <w:spacing w:before="160"/>
      <w:jc w:val="center"/>
    </w:pPr>
    <w:rPr>
      <w:i/>
      <w:iCs/>
      <w:color w:val="404040" w:themeColor="text1" w:themeTint="BF"/>
    </w:rPr>
  </w:style>
  <w:style w:type="character" w:customStyle="1" w:styleId="CitaCar">
    <w:name w:val="Cita Car"/>
    <w:basedOn w:val="Fuentedeprrafopredeter"/>
    <w:link w:val="Cita"/>
    <w:uiPriority w:val="29"/>
    <w:rsid w:val="00396919"/>
    <w:rPr>
      <w:i/>
      <w:iCs/>
      <w:color w:val="404040" w:themeColor="text1" w:themeTint="BF"/>
    </w:rPr>
  </w:style>
  <w:style w:type="paragraph" w:styleId="Prrafodelista">
    <w:name w:val="List Paragraph"/>
    <w:basedOn w:val="Normal"/>
    <w:uiPriority w:val="34"/>
    <w:qFormat/>
    <w:rsid w:val="00396919"/>
    <w:pPr>
      <w:ind w:left="720"/>
      <w:contextualSpacing/>
    </w:pPr>
  </w:style>
  <w:style w:type="character" w:styleId="nfasisintenso">
    <w:name w:val="Intense Emphasis"/>
    <w:basedOn w:val="Fuentedeprrafopredeter"/>
    <w:uiPriority w:val="21"/>
    <w:qFormat/>
    <w:rsid w:val="00396919"/>
    <w:rPr>
      <w:i/>
      <w:iCs/>
      <w:color w:val="0F4761" w:themeColor="accent1" w:themeShade="BF"/>
    </w:rPr>
  </w:style>
  <w:style w:type="paragraph" w:styleId="Citadestacada">
    <w:name w:val="Intense Quote"/>
    <w:basedOn w:val="Normal"/>
    <w:next w:val="Normal"/>
    <w:link w:val="CitadestacadaCar"/>
    <w:uiPriority w:val="30"/>
    <w:qFormat/>
    <w:rsid w:val="00396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6919"/>
    <w:rPr>
      <w:i/>
      <w:iCs/>
      <w:color w:val="0F4761" w:themeColor="accent1" w:themeShade="BF"/>
    </w:rPr>
  </w:style>
  <w:style w:type="character" w:styleId="Referenciaintensa">
    <w:name w:val="Intense Reference"/>
    <w:basedOn w:val="Fuentedeprrafopredeter"/>
    <w:uiPriority w:val="32"/>
    <w:qFormat/>
    <w:rsid w:val="003969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797</Words>
  <Characters>4389</Characters>
  <Application>Microsoft Office Word</Application>
  <DocSecurity>0</DocSecurity>
  <Lines>36</Lines>
  <Paragraphs>10</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Edyn Alvaro Berrio Miranda</dc:creator>
  <cp:keywords/>
  <dc:description/>
  <cp:lastModifiedBy>Edyn Alvaro Berrio Miranda</cp:lastModifiedBy>
  <cp:revision>2</cp:revision>
  <dcterms:created xsi:type="dcterms:W3CDTF">2026-06-10T08:12:00Z</dcterms:created>
  <dcterms:modified xsi:type="dcterms:W3CDTF">2026-06-10T08:13:00Z</dcterms:modified>
</cp:coreProperties>
</file>