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Notificaciones por correo electrónico</w:t>
      </w:r>
    </w:p>
    <w:p>
      <w:pPr>
        <w:pStyle w:val="Subtitle"/>
      </w:pPr>
      <w:r>
        <w:t>Propuesta de requisito funcional y caso de uso de registro</w:t>
      </w:r>
    </w:p>
    <w:p>
      <w:r>
        <w:t>Centro Médico La Aurora  |  30 de octubre de 2026</w:t>
      </w:r>
    </w:p>
    <w:p>
      <w:r>
        <w:t>Se propone incorporar notificaciones por correo para informar a personal y pacientes sobre registros y eventos administrativos. Este documento define el comportamiento esperado y los criterios para su aceptación; no certifica que las funciones estén implementadas o disponibles.</w:t>
      </w:r>
    </w:p>
    <w:p>
      <w:pPr>
        <w:pStyle w:val="Heading1"/>
      </w:pPr>
      <w:r>
        <w:t>Requisito propuesto REQ 0018</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Campo</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Definición</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Identificador</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REQ-0018</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Nombre</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Notificaciones por correo electrónico</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Tipo</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Funcional</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Prioridad propuesta</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Media</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Actores</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Administrador, personal autorizado, paciente y responsable autorizado</w:t>
            </w:r>
          </w:p>
        </w:tc>
      </w:tr>
      <w:tr>
        <w:trPr>
          <w:cantSplit/>
        </w:trPr>
        <w:tc>
          <w:tcPr>
            <w:tcW w:type="dxa" w:w="2160"/>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Objetivo</w:t>
            </w:r>
          </w:p>
        </w:tc>
        <w:tc>
          <w:tcPr>
            <w:tcW w:type="dxa" w:w="7632"/>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Informar a personal y pacientes sobre el registro y eventos administrativos relacionados con el servicio.</w:t>
            </w:r>
          </w:p>
        </w:tc>
      </w:tr>
    </w:tbl>
    <w:p>
      <w:r>
        <w:t>El sistema deberá solicitar el envío desde el backend mediante un proveedor de correo, utilizando una plantilla correspondiente al evento y registrando el resultado de cada intento. Los envíos deberán respetar la autorización del destinatario y las reglas de protección de información.</w:t>
      </w:r>
    </w:p>
    <w:p>
      <w:pPr>
        <w:pStyle w:val="Heading1"/>
      </w:pPr>
      <w:r>
        <w:t>Eventos comprendidos</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Evento</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Contenido esperado</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Alta de personal</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Bienvenida e instrucciones. Opcionalmente, enlace temporal para establecer la contraseña.</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Alta de paciente</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Confirmación del registro y datos de contacto administrativos, sin crear una cuenta de acceso.</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Confirmación o reprogramación de cita</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Fecha, hora, ubicación e instrucciones administrativas.</w:t>
            </w:r>
          </w:p>
        </w:tc>
      </w:tr>
      <w:tr>
        <w:trPr>
          <w:cantSplit/>
        </w:trPr>
        <w:tc>
          <w:tcPr>
            <w:tcW w:type="dxa" w:w="3024"/>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Estado de cuenta</w:t>
            </w:r>
          </w:p>
        </w:tc>
        <w:tc>
          <w:tcPr>
            <w:tcW w:type="dxa" w:w="6768"/>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Bajo acción autorizada, aviso de disponibilidad o acceso seguro al estado de cuenta.</w:t>
            </w:r>
          </w:p>
        </w:tc>
      </w:tr>
    </w:tbl>
    <w:p>
      <w:r>
        <w:br w:type="page"/>
      </w:r>
    </w:p>
    <w:p>
      <w:pPr>
        <w:pStyle w:val="Heading1"/>
      </w:pPr>
      <w:r>
        <w:t>Reglas de funcionamiento y protección</w:t>
      </w:r>
    </w:p>
    <w:p>
      <w:pPr>
        <w:pStyle w:val="ListBullet"/>
      </w:pPr>
      <w:r>
        <w:t>El destinatario deberá estar verificado y autorizado para recibir la comunicación. Cuando corresponda a un responsable, deberá comprobarse su autorización.</w:t>
      </w:r>
    </w:p>
    <w:p>
      <w:pPr>
        <w:pStyle w:val="ListBullet"/>
      </w:pPr>
      <w:r>
        <w:t>El sistema validará el formato del correo. Un formato válido no demuestra que la dirección exista ni que pertenezca a la persona indicada; deberá existir un procedimiento de confirmación.</w:t>
      </w:r>
    </w:p>
    <w:p>
      <w:pPr>
        <w:pStyle w:val="ListBullet"/>
      </w:pPr>
      <w:r>
        <w:t>Los avisos no incluirán diagnósticos, resultados clínicos ni contraseñas. El contenido será administrativo y limitará los datos personales a lo necesario.</w:t>
      </w:r>
    </w:p>
    <w:p>
      <w:pPr>
        <w:pStyle w:val="ListBullet"/>
      </w:pPr>
      <w:r>
        <w:t>Cuando se utilice activación de personal, el enlace será temporal y de un solo uso. Su vencimiento requerirá una nueva invitación emitida mediante una acción autorizada.</w:t>
      </w:r>
    </w:p>
    <w:p>
      <w:pPr>
        <w:pStyle w:val="ListBullet"/>
      </w:pPr>
      <w:r>
        <w:t>Un fallo del proveedor no eliminará ni duplicará el registro de personal o paciente. El alta y el envío se tratarán como resultados diferenciados.</w:t>
      </w:r>
    </w:p>
    <w:p>
      <w:pPr>
        <w:pStyle w:val="ListBullet"/>
      </w:pPr>
      <w:r>
        <w:t>Los estados distinguirán pendiente, aceptado por el proveedor y fallido. Solo se indicará entregado cuando exista una confirmación explícita del proveedor que lo sustente.</w:t>
      </w:r>
    </w:p>
    <w:p>
      <w:pPr>
        <w:pStyle w:val="ListBullet"/>
      </w:pPr>
      <w:r>
        <w:t>Los reintentos se asociarán al mismo evento y evitarán envíos duplicados y nuevas altas involuntarias.</w:t>
      </w:r>
    </w:p>
    <w:p>
      <w:pPr>
        <w:pStyle w:val="ListBullet"/>
      </w:pPr>
      <w:r>
        <w:t>Un paciente sin correo podrá registrarse sin notificación. Esa condición deberá mostrarse de forma comprensible al personal.</w:t>
      </w:r>
    </w:p>
    <w:p>
      <w:pPr>
        <w:pStyle w:val="ListBullet"/>
      </w:pPr>
      <w:r>
        <w:t>Las credenciales y secretos del proveedor permanecerán exclusivamente en el backend. Los permisos se comprobarán antes de solicitar envíos o consultar información asociada.</w:t>
      </w:r>
    </w:p>
    <w:p>
      <w:pPr>
        <w:pStyle w:val="Heading1"/>
      </w:pPr>
      <w:r>
        <w:t>Alcance del caso de uso</w:t>
      </w:r>
    </w:p>
    <w:p>
      <w:r>
        <w:t>CU-06 se centra exclusivamente en notificar un alta guardada correctamente. Las confirmaciones o reprogramaciones de citas y los estados de cuenta forman parte del alcance adicional de REQ-0018 y deberán describirse en casos de uso independientes.</w:t>
      </w:r>
    </w:p>
    <w:p>
      <w:pPr>
        <w:pStyle w:val="Heading1"/>
      </w:pPr>
      <w:r>
        <w:t>Estado de implementación y numeración</w:t>
      </w:r>
    </w:p>
    <w:p>
      <w:r>
        <w:t>La auditoría del proyecto encontró integración con Gmail en el código, pero no verificó el envío real. La activación de personal y los eventos descritos deberán validarse antes de afirmarse como disponibles. Esta propuesta no constituye evidencia de entrega de mensajes ni de funcionamiento en producción.</w:t>
      </w:r>
    </w:p>
    <w:p>
      <w:r>
        <w:t>Los identificadores REQ-0018 y CU-06 son propuestos. Su numeración y relación con los requisitos existentes deberán confirmarse en el documento maestro.</w:t>
      </w:r>
    </w:p>
    <w:p>
      <w:r>
        <w:br w:type="page"/>
      </w:r>
    </w:p>
    <w:p>
      <w:pPr>
        <w:pStyle w:val="Heading1"/>
      </w:pPr>
      <w:r>
        <w:t>Caso de uso CU 06</w:t>
      </w:r>
    </w:p>
    <w:p>
      <w:pPr>
        <w:pStyle w:val="Heading2"/>
      </w:pPr>
      <w:r>
        <w:t>Notificar registro por correo</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Campo</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Especificación</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Objetivo</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Notificar que el alta se guardó correctamente.</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Actor principal</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Administrador o personal autorizado.</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Destinatario</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Nuevo integrante del personal, paciente o responsable autorizado.</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Actor secundario</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Proveedor de correo electrónico.</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Disparador</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Alta guardada correctamente.</w:t>
            </w:r>
          </w:p>
        </w:tc>
      </w:tr>
      <w:tr>
        <w:trPr>
          <w:cantSplit/>
        </w:trPr>
        <w:tc>
          <w:tcPr>
            <w:tcW w:type="dxa" w:w="237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Requisito relacionado</w:t>
            </w:r>
          </w:p>
        </w:tc>
        <w:tc>
          <w:tcPr>
            <w:tcW w:type="dxa" w:w="741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REQ-0018 Notificaciones por correo electrónico.</w:t>
            </w:r>
          </w:p>
        </w:tc>
      </w:tr>
    </w:tbl>
    <w:p>
      <w:pPr>
        <w:pStyle w:val="Heading2"/>
      </w:pPr>
      <w:r>
        <w:t>Precondiciones</w:t>
      </w:r>
    </w:p>
    <w:p>
      <w:pPr>
        <w:pStyle w:val="ListBullet"/>
      </w:pPr>
      <w:r>
        <w:t>El usuario ha iniciado sesión y cuenta con permiso para realizar el alta y solicitar la notificación.</w:t>
      </w:r>
    </w:p>
    <w:p>
      <w:pPr>
        <w:pStyle w:val="ListBullet"/>
      </w:pPr>
      <w:r>
        <w:t>El proveedor está configurado. El correo tiene formato válido y su titularidad o destinatario han sido confirmados.</w:t>
      </w:r>
    </w:p>
    <w:p>
      <w:pPr>
        <w:pStyle w:val="ListBullet"/>
      </w:pPr>
      <w:r>
        <w:t>Si el destinatario es un responsable, su autorización está registrada o comprobada.</w:t>
      </w:r>
    </w:p>
    <w:p>
      <w:pPr>
        <w:pStyle w:val="Heading2"/>
      </w:pPr>
      <w:r>
        <w:t>Flujo principal</w:t>
      </w:r>
    </w:p>
    <w:p>
      <w:r>
        <w:t>1. El usuario completa el formulario de alta del personal o paciente.</w:t>
      </w:r>
    </w:p>
    <w:p>
      <w:r>
        <w:t>2. El usuario revisa los datos y el destinatario de la notificación.</w:t>
      </w:r>
    </w:p>
    <w:p>
      <w:r>
        <w:t>3. El sistema valida los datos y los permisos de la operación.</w:t>
      </w:r>
    </w:p>
    <w:p>
      <w:r>
        <w:t>4. El sistema guarda el registro y confirma el alta correcta.</w:t>
      </w:r>
    </w:p>
    <w:p>
      <w:r>
        <w:t>5. El sistema selecciona la plantilla de personal o de paciente, según el registro.</w:t>
      </w:r>
    </w:p>
    <w:p>
      <w:r>
        <w:t>6. El backend solicita el envío al proveedor de correo.</w:t>
      </w:r>
    </w:p>
    <w:p>
      <w:r>
        <w:t>7. El sistema registra el resultado del intento y lo asocia con el evento de alta.</w:t>
      </w:r>
    </w:p>
    <w:p>
      <w:r>
        <w:t>8. La interfaz confirma el alta y muestra el estado de la notificación de forma diferenciada.</w:t>
      </w:r>
    </w:p>
    <w:p>
      <w:r>
        <w:t>9. La entrega posterior depende del proveedor; la aceptación de la solicitud no se presenta como entrega confirmada.</w:t>
      </w:r>
    </w:p>
    <w:p>
      <w:r>
        <w:br w:type="page"/>
      </w:r>
    </w:p>
    <w:p>
      <w:pPr>
        <w:pStyle w:val="Heading1"/>
      </w:pPr>
      <w:r>
        <w:t>Alternativas y resultados del caso de uso</w:t>
      </w:r>
    </w:p>
    <w:tbl>
      <w:tblPr>
        <w:tblW w:type="auto" w:w="0"/>
        <w:jc w:val="center"/>
        <w:tblLayout w:type="fixed"/>
        <w:tblLook w:firstColumn="1" w:firstRow="1" w:lastColumn="0" w:lastRow="0" w:noHBand="0" w:noVBand="1" w:val="04A0"/>
      </w:tblPr>
      <w:tblGrid>
        <w:gridCol w:w="4896"/>
        <w:gridCol w:w="4896"/>
      </w:tblGrid>
      <w:tr>
        <w:trPr>
          <w:cantSplit/>
          <w:tblHeader/>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Situación</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shd w:fill="E7E6E6"/>
          </w:tcPr>
          <w:p>
            <w:pPr>
              <w:spacing w:after="40"/>
            </w:pPr>
            <w:r>
              <w:rPr>
                <w:b/>
                <w:sz w:val="20"/>
              </w:rPr>
              <w:t>Respuesta esperada</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Formato de correo incorrecto</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Solicitar la corrección antes de intentar el envío.</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Paciente sin correo</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Guardar el registro sin notificación e informar esa condición.</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Proveedor no disponible</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Conservar el alta y marcar el intento como pendiente o fallido, según el resultado conocido.</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Reintento autorizado</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Reutilizar el evento original sin crear un nuevo registro ni duplicar mensajes.</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Activación vencida</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Permitir una nueva invitación mediante una acción autorizada.</w:t>
            </w:r>
          </w:p>
        </w:tc>
      </w:tr>
      <w:tr>
        <w:trPr>
          <w:cantSplit/>
        </w:trPr>
        <w:tc>
          <w:tcPr>
            <w:tcW w:type="dxa" w:w="273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Rechazo posterior</w:t>
            </w:r>
          </w:p>
        </w:tc>
        <w:tc>
          <w:tcPr>
            <w:tcW w:type="dxa" w:w="7056"/>
            <w:vAlign w:val="center"/>
            <w:tcMar>
              <w:top w:w="95" w:type="dxa"/>
              <w:left w:w="95" w:type="dxa"/>
              <w:bottom w:w="95" w:type="dxa"/>
              <w:right w:w="95" w:type="dxa"/>
            </w:tcMar>
            <w:tcBorders>
              <w:top w:val="single" w:sz="4" w:color="D9D9D9"/>
              <w:left w:val="single" w:sz="4" w:color="D9D9D9"/>
              <w:bottom w:val="single" w:sz="4" w:color="D9D9D9"/>
              <w:right w:val="single" w:sz="4" w:color="D9D9D9"/>
            </w:tcBorders>
          </w:tcPr>
          <w:p>
            <w:pPr>
              <w:spacing w:after="40"/>
            </w:pPr>
            <w:r>
              <w:rPr>
                <w:b w:val="0"/>
                <w:sz w:val="20"/>
              </w:rPr>
              <w:t>Actualizar el estado si el proveedor comunica el rechazo.</w:t>
            </w:r>
          </w:p>
        </w:tc>
      </w:tr>
    </w:tbl>
    <w:p>
      <w:pPr>
        <w:pStyle w:val="Heading2"/>
      </w:pPr>
      <w:r>
        <w:t>Postcondiciones</w:t>
      </w:r>
    </w:p>
    <w:p>
      <w:r>
        <w:t>El registro permanece guardado y el intento de envío queda asociado con su evento. Un fallo de correo no modifica la historia clínica ni duplica el alta. La confirmación de registro de un paciente no crea una cuenta ni concede acceso al sistema.</w:t>
      </w:r>
    </w:p>
    <w:p>
      <w:pPr>
        <w:pStyle w:val="Heading2"/>
      </w:pPr>
      <w:r>
        <w:t>Criterios de aceptación</w:t>
      </w:r>
    </w:p>
    <w:p>
      <w:r>
        <w:t>1. El alta de personal genera un aviso dirigido al titular confirmado.</w:t>
      </w:r>
    </w:p>
    <w:p>
      <w:r>
        <w:t>2. El alta de paciente con correo confirmado genera un aviso sin datos clínicos.</w:t>
      </w:r>
    </w:p>
    <w:p>
      <w:r>
        <w:t>3. Un fallo de envío conserva el alta e informa el estado correspondiente.</w:t>
      </w:r>
    </w:p>
    <w:p>
      <w:r>
        <w:t>4. El reintento no duplica el registro ni el mensaje del mismo evento.</w:t>
      </w:r>
    </w:p>
    <w:p>
      <w:r>
        <w:t>5. Los mensajes no contienen contraseñas.</w:t>
      </w:r>
    </w:p>
    <w:p>
      <w:r>
        <w:t>6. Un usuario sin permiso no puede activar envíos ni acceder a cuentas ajenas.</w:t>
      </w:r>
    </w:p>
    <w:p>
      <w:r>
        <w:t>7. El sistema no indica entregado cuando solo existe aceptación del proveedor.</w:t>
      </w:r>
    </w:p>
    <w:p>
      <w:r>
        <w:t>8. La validación se realiza con destinatarios de prueba y escenarios de éxito y fallo.</w:t>
      </w:r>
    </w:p>
    <w:p>
      <w:r>
        <w:t>La aceptación deberá documentar el resultado de cada criterio y la evidencia de prueba antes de declarar disponible el requisito.</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contextualSpacing/>
    </w:pPr>
    <w:rPr>
      <w:rFonts w:asciiTheme="majorHAnsi" w:eastAsiaTheme="majorEastAsia" w:hAnsiTheme="majorHAnsi" w:cstheme="majorBidi" w:ascii="Calibri" w:hAnsi="Calibri"/>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Notificaciones por correo electrónico y caso de uso de registro</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