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800" w:after="0" w:line="276" w:lineRule="auto"/>
      </w:pPr>
      <w:r>
        <w:drawing>
          <wp:inline xmlns:a="http://schemas.openxmlformats.org/drawingml/2006/main" xmlns:pic="http://schemas.openxmlformats.org/drawingml/2006/picture">
            <wp:extent cx="2060188" cy="438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ti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60188" cy="438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000" w:after="200" w:line="276" w:lineRule="auto"/>
      </w:pPr>
      <w:r>
        <w:rPr>
          <w:rFonts w:ascii="Arial" w:hAnsi="Arial"/>
          <w:b/>
          <w:i w:val="0"/>
          <w:color w:val="011E23"/>
          <w:sz w:val="68"/>
        </w:rPr>
        <w:t>Reporte Trimestral de Convertia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60"/>
      </w:tblGrid>
      <w:tr>
        <w:trPr>
          <w:trHeight w:val="60" w:hRule="exact"/>
        </w:trPr>
        <w:tc>
          <w:tcPr>
            <w:tcW w:type="dxa" w:w="9360"/>
            <w:shd w:fill="1AEB9F"/>
          </w:tcPr>
          <w:p/>
        </w:tc>
      </w:tr>
    </w:tbl>
    <w:p>
      <w:pPr>
        <w:keepNext w:val="0"/>
        <w:spacing w:before="320" w:after="2400" w:line="276" w:lineRule="auto"/>
      </w:pPr>
      <w:r>
        <w:rPr>
          <w:rFonts w:ascii="Arial" w:hAnsi="Arial"/>
          <w:b w:val="0"/>
          <w:i w:val="0"/>
          <w:color w:val="585757"/>
          <w:sz w:val="32"/>
        </w:rPr>
        <w:t>Rendimiento del primer trimestre y proyecciones de crecimiento para el Q2</w:t>
      </w:r>
    </w:p>
    <w:p>
      <w:pPr>
        <w:keepNext w:val="0"/>
        <w:spacing w:before="200" w:after="80" w:line="276" w:lineRule="auto"/>
      </w:pPr>
      <w:r>
        <w:rPr>
          <w:rFonts w:ascii="Arial" w:hAnsi="Arial"/>
          <w:b/>
          <w:i w:val="0"/>
          <w:color w:val="718096"/>
          <w:sz w:val="19"/>
        </w:rPr>
        <w:t xml:space="preserve">Fecha de generación: </w:t>
      </w:r>
      <w:r>
        <w:rPr>
          <w:rFonts w:ascii="Arial" w:hAnsi="Arial"/>
          <w:b w:val="0"/>
          <w:i w:val="0"/>
          <w:color w:val="011E23"/>
          <w:sz w:val="19"/>
        </w:rPr>
        <w:t>03 / 06 / 2026</w:t>
      </w:r>
    </w:p>
    <w:p>
      <w:pPr>
        <w:keepNext w:val="0"/>
        <w:spacing w:before="0" w:after="80" w:line="276" w:lineRule="auto"/>
      </w:pPr>
      <w:r>
        <w:rPr>
          <w:rFonts w:ascii="Arial" w:hAnsi="Arial"/>
          <w:b/>
          <w:i w:val="0"/>
          <w:color w:val="718096"/>
          <w:sz w:val="19"/>
        </w:rPr>
        <w:t xml:space="preserve">Generado por: </w:t>
      </w:r>
      <w:r>
        <w:rPr>
          <w:rFonts w:ascii="Arial" w:hAnsi="Arial"/>
          <w:b w:val="0"/>
          <w:i w:val="0"/>
          <w:color w:val="011E23"/>
          <w:sz w:val="19"/>
        </w:rPr>
        <w:t>Olivia AI — Analista Principal</w:t>
      </w:r>
    </w:p>
    <w:p>
      <w:pPr>
        <w:keepNext w:val="0"/>
        <w:spacing w:before="0" w:after="80" w:line="276" w:lineRule="auto"/>
      </w:pPr>
      <w:r>
        <w:rPr>
          <w:rFonts w:ascii="Arial" w:hAnsi="Arial"/>
          <w:b/>
          <w:i w:val="0"/>
          <w:color w:val="718096"/>
          <w:sz w:val="19"/>
        </w:rPr>
        <w:t xml:space="preserve">Clasificación: </w:t>
      </w:r>
      <w:r>
        <w:rPr>
          <w:rFonts w:ascii="Arial" w:hAnsi="Arial"/>
          <w:b w:val="0"/>
          <w:i w:val="0"/>
          <w:color w:val="011E23"/>
          <w:sz w:val="19"/>
        </w:rPr>
        <w:t>Confidencial Corporativo</w:t>
      </w:r>
    </w:p>
    <w:p>
      <w:r>
        <w:br w:type="page"/>
      </w:r>
    </w:p>
    <w:p>
      <w:pPr>
        <w:keepNext/>
        <w:spacing w:before="480" w:after="360" w:line="276" w:lineRule="auto"/>
        <w:pBdr>
          <w:bottom w:val="single" w:sz="24" w:space="8" w:color="1AEB9F"/>
        </w:pBdr>
      </w:pPr>
      <w:r>
        <w:rPr>
          <w:rFonts w:ascii="Arial" w:hAnsi="Arial"/>
          <w:b/>
          <w:i w:val="0"/>
          <w:color w:val="011E23"/>
          <w:sz w:val="48"/>
        </w:rPr>
        <w:t>Introducción General</w:t>
      </w:r>
    </w:p>
    <w:p>
      <w:pPr>
        <w:keepNext w:val="0"/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2D3748"/>
          <w:sz w:val="21"/>
        </w:rPr>
        <w:t>Este documento contiene el reporte de rendimiento del primer trimestre de Convertia, detallando métricas y resultados clave. El objetivo es alinear las estrategias comerciales con los hallazgos del equipo de analítica.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Lanzamiento de nuevas campañas de captación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Optimización de embudos en landing pages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Integración con ConvertiaSuite GPT</w:t>
      </w:r>
    </w:p>
    <w:p>
      <w:pPr>
        <w:keepNext/>
        <w:spacing w:before="360" w:after="160" w:line="276" w:lineRule="auto"/>
        <w:ind w:left="288"/>
        <w:pBdr>
          <w:left w:val="single" w:sz="24" w:space="8" w:color="1AEB9F"/>
        </w:pBdr>
      </w:pPr>
      <w:r>
        <w:rPr>
          <w:rFonts w:ascii="Arial" w:hAnsi="Arial"/>
          <w:b/>
          <w:i w:val="0"/>
          <w:color w:val="10473F"/>
          <w:sz w:val="30"/>
        </w:rPr>
        <w:t>Resultados Detallados de Conversión</w:t>
      </w:r>
    </w:p>
    <w:p>
      <w:pPr>
        <w:keepNext w:val="0"/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2D3748"/>
          <w:sz w:val="21"/>
        </w:rPr>
        <w:t>A continuación se presentan los datos numéricos tabulados correspondientes a las métricas de conversión y ventas del canal principal durante el Q1.</w:t>
      </w:r>
    </w:p>
    <w:p>
      <w:pPr>
        <w:keepNext/>
        <w:spacing w:before="240" w:after="80" w:line="276" w:lineRule="auto"/>
      </w:pPr>
      <w:r>
        <w:rPr>
          <w:rFonts w:ascii="Arial" w:hAnsi="Arial"/>
          <w:b/>
          <w:i w:val="0"/>
          <w:color w:val="718096"/>
          <w:sz w:val="18"/>
        </w:rPr>
        <w:t>MÉTRICAS DE RENDIMIENTO Q1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BDFFC"/>
          <w:bottom w:val="single" w:sz="4" w:space="0" w:color="DBDFFC"/>
          <w:left w:val="single" w:sz="4" w:space="0" w:color="DBDFFC"/>
          <w:right w:val="single" w:sz="4" w:space="0" w:color="DBDFFC"/>
          <w:insideH w:val="single" w:sz="4" w:space="0" w:color="DBDFFC"/>
          <w:insideV w:val="single" w:sz="4" w:space="0" w:color="DBDFFC"/>
        </w:tblBorders>
        <w:tblCellMar>
          <w:top w:w="100" w:type="dxa"/>
          <w:bottom w:w="100" w:type="dxa"/>
          <w:left w:w="150" w:type="dxa"/>
          <w:right w:w="15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Enero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Febrero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Marzo</w:t>
            </w:r>
          </w:p>
        </w:tc>
      </w:tr>
      <w:tr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Clientes Nuevos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150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180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210</w:t>
            </w:r>
          </w:p>
        </w:tc>
      </w:tr>
      <w:tr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Tasa de Conversión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2.4%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2.7%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3.1%</w:t>
            </w:r>
          </w:p>
        </w:tc>
      </w:tr>
      <w:tr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Ingresos (USD)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15000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18500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22000</w:t>
            </w:r>
          </w:p>
        </w:tc>
      </w:tr>
    </w:tbl>
    <w:p>
      <w:pPr>
        <w:keepNext w:val="0"/>
        <w:spacing w:before="0" w:after="200" w:line="276" w:lineRule="auto"/>
      </w:pPr>
    </w:p>
    <w:p>
      <w:pPr>
        <w:keepNext/>
        <w:spacing w:before="280" w:after="120" w:line="276" w:lineRule="auto"/>
      </w:pPr>
      <w:r>
        <w:rPr>
          <w:rFonts w:ascii="Arial" w:hAnsi="Arial"/>
          <w:b/>
          <w:i w:val="0"/>
          <w:color w:val="2D3748"/>
          <w:sz w:val="24"/>
        </w:rPr>
        <w:t>Recomendaciones Estratégicas</w:t>
      </w:r>
    </w:p>
    <w:p>
      <w:pPr>
        <w:keepNext w:val="0"/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2D3748"/>
          <w:sz w:val="21"/>
        </w:rPr>
        <w:t>Se sugiere mantener el enfoque en la optimización de costes por adquisición y expandir el canal de búsqueda pagada en mercados secundarios.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Aumentar presupuesto en Google Ads un 15%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Refinar audiencias de remarketing en Meta</w:t>
      </w:r>
    </w:p>
    <w:p>
      <w:pPr>
        <w:pStyle w:val="ListBullet"/>
        <w:keepNext w:val="0"/>
        <w:spacing w:before="0" w:after="80" w:line="276" w:lineRule="auto"/>
      </w:pPr>
      <w:r>
        <w:rPr>
          <w:rFonts w:ascii="Arial" w:hAnsi="Arial"/>
          <w:b w:val="0"/>
          <w:i w:val="0"/>
          <w:color w:val="2D3748"/>
          <w:sz w:val="21"/>
        </w:rPr>
        <w:t>Desplegar el nuevo chatbot automatizado</w:t>
      </w:r>
    </w:p>
    <w:p>
      <w:pPr>
        <w:keepNext/>
        <w:spacing w:before="240" w:after="80" w:line="276" w:lineRule="auto"/>
      </w:pPr>
      <w:r>
        <w:rPr>
          <w:rFonts w:ascii="Arial" w:hAnsi="Arial"/>
          <w:b/>
          <w:i w:val="0"/>
          <w:color w:val="718096"/>
          <w:sz w:val="18"/>
        </w:rPr>
        <w:t>MÉTRICAS DE RENDIMIENTO Q1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BDFFC"/>
          <w:bottom w:val="single" w:sz="4" w:space="0" w:color="DBDFFC"/>
          <w:left w:val="single" w:sz="4" w:space="0" w:color="DBDFFC"/>
          <w:right w:val="single" w:sz="4" w:space="0" w:color="DBDFFC"/>
          <w:insideH w:val="single" w:sz="4" w:space="0" w:color="DBDFFC"/>
          <w:insideV w:val="single" w:sz="4" w:space="0" w:color="DBDFFC"/>
        </w:tblBorders>
        <w:tblCellMar>
          <w:top w:w="100" w:type="dxa"/>
          <w:bottom w:w="100" w:type="dxa"/>
          <w:left w:w="150" w:type="dxa"/>
          <w:right w:w="15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Enero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Febrero</w:t>
            </w:r>
          </w:p>
        </w:tc>
        <w:tc>
          <w:tcPr>
            <w:tcW w:type="dxa" w:w="2340"/>
            <w:shd w:fill="011E23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Marzo</w:t>
            </w:r>
          </w:p>
        </w:tc>
      </w:tr>
      <w:tr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Clientes Nuevos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150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180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210</w:t>
            </w:r>
          </w:p>
        </w:tc>
      </w:tr>
      <w:tr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Tasa de Conversión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2.4%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2.7%</w:t>
            </w:r>
          </w:p>
        </w:tc>
        <w:tc>
          <w:tcPr>
            <w:tcW w:type="dxa" w:w="2340"/>
            <w:shd w:fill="F5F5F5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3.1%</w:t>
            </w:r>
          </w:p>
        </w:tc>
      </w:tr>
      <w:tr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Ingresos (USD)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15000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18500</w:t>
            </w:r>
          </w:p>
        </w:tc>
        <w:tc>
          <w:tcPr>
            <w:tcW w:type="dxa" w:w="2340"/>
            <w:vAlign w:val="center"/>
          </w:tcPr>
          <w:p>
            <w:pPr>
              <w:keepNext w:val="0"/>
              <w:spacing w:before="40" w:after="40" w:line="276" w:lineRule="auto"/>
              <w:jc w:val="left"/>
            </w:pPr>
            <w:r>
              <w:rPr>
                <w:rFonts w:ascii="Arial" w:hAnsi="Arial"/>
                <w:b w:val="0"/>
                <w:i w:val="0"/>
                <w:color w:val="2D3748"/>
                <w:sz w:val="19"/>
              </w:rPr>
              <w:t>22000</w:t>
            </w:r>
          </w:p>
        </w:tc>
      </w:tr>
    </w:tbl>
    <w:p>
      <w:pPr>
        <w:keepNext w:val="0"/>
        <w:spacing w:before="0" w:after="200" w:line="276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6480"/>
        </w:tcPr>
        <w:p>
          <w:pPr>
            <w:keepNext w:val="0"/>
            <w:spacing w:before="0" w:after="0" w:line="276" w:lineRule="auto"/>
            <w:jc w:val="left"/>
          </w:pPr>
          <w:r>
            <w:rPr>
              <w:rFonts w:ascii="Arial" w:hAnsi="Arial"/>
              <w:b w:val="0"/>
              <w:i w:val="0"/>
              <w:color w:val="718096"/>
              <w:sz w:val="16"/>
            </w:rPr>
            <w:t>© Intelligence Customer Acquisition — Convertia — Documentación interna</w:t>
          </w:r>
        </w:p>
      </w:tc>
      <w:tc>
        <w:tcPr>
          <w:tcW w:type="dxa" w:w="2880"/>
        </w:tcPr>
        <w:p>
          <w:pPr>
            <w:keepNext w:val="0"/>
            <w:spacing w:before="0" w:after="0" w:line="276" w:lineRule="auto"/>
            <w:jc w:val="right"/>
          </w:pPr>
          <w:r>
            <w:rPr>
              <w:rFonts w:ascii="Arial" w:hAnsi="Arial"/>
              <w:b w:val="0"/>
              <w:i w:val="0"/>
              <w:color w:val="718096"/>
              <w:sz w:val="16"/>
            </w:rPr>
            <w:t xml:space="preserve">Pág. </w:t>
          </w:r>
          <w:r>
            <w:rPr>
              <w:rFonts w:ascii="Arial" w:hAnsi="Arial"/>
              <w:b w:val="0"/>
              <w:i w:val="0"/>
              <w:color w:val="718096"/>
              <w:sz w:val="16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Arial" w:hAnsi="Arial"/>
              <w:b w:val="0"/>
              <w:i w:val="0"/>
              <w:color w:val="718096"/>
              <w:sz w:val="16"/>
            </w:rPr>
            <w:t xml:space="preserve"> de </w:t>
          </w:r>
          <w:r>
            <w:rPr>
              <w:rFonts w:ascii="Arial" w:hAnsi="Arial"/>
              <w:b w:val="0"/>
              <w:i w:val="0"/>
              <w:color w:val="718096"/>
              <w:sz w:val="16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20040" cy="3200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vertia_doc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0040" cy="3200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