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400" w:line="276" w:lineRule="auto"/>
        <w:jc w:val="right"/>
      </w:pPr>
      <w:r>
        <w:drawing>
          <wp:inline xmlns:a="http://schemas.openxmlformats.org/drawingml/2006/main" xmlns:pic="http://schemas.openxmlformats.org/drawingml/2006/picture">
            <wp:extent cx="1502220" cy="320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tia_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2220" cy="32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360" w:after="160" w:line="276" w:lineRule="auto"/>
      </w:pPr>
      <w:r>
        <w:rPr>
          <w:rFonts w:ascii="Arial" w:hAnsi="Arial"/>
          <w:b/>
          <w:i w:val="0"/>
          <w:color w:val="011E23"/>
          <w:sz w:val="64"/>
        </w:rPr>
        <w:t xml:space="preserve">Reporte Trimestral de </w:t>
      </w:r>
      <w:r>
        <w:rPr>
          <w:rFonts w:ascii="Arial" w:hAnsi="Arial"/>
          <w:b/>
          <w:i w:val="0"/>
          <w:color w:val="718096"/>
          <w:sz w:val="64"/>
        </w:rPr>
        <w:t>Convertia</w:t>
      </w:r>
    </w:p>
    <w:p>
      <w:pPr>
        <w:keepNext w:val="0"/>
        <w:spacing w:before="80" w:after="0" w:line="276" w:lineRule="auto"/>
      </w:pPr>
      <w:r>
        <w:rPr>
          <w:rFonts w:ascii="Arial" w:hAnsi="Arial"/>
          <w:b w:val="0"/>
          <w:i w:val="0"/>
          <w:color w:val="10473F"/>
          <w:sz w:val="26"/>
        </w:rPr>
        <w:t>Rendimiento del primer trimestre y proyecciones de crecimiento para el Q2</w:t>
      </w:r>
    </w:p>
    <w:p>
      <w:r>
        <w:br w:type="page"/>
      </w:r>
    </w:p>
    <w:p>
      <w:pPr>
        <w:keepNext w:val="0"/>
        <w:spacing w:before="480" w:after="360" w:line="276" w:lineRule="auto"/>
      </w:pPr>
      <w:r>
        <w:rPr>
          <w:rFonts w:ascii="Arial" w:hAnsi="Arial"/>
          <w:b/>
          <w:i w:val="0"/>
          <w:color w:val="011E23"/>
          <w:sz w:val="32"/>
        </w:rPr>
        <w:t>ÍNDICE</w:t>
      </w:r>
    </w:p>
    <w:p>
      <w:pPr>
        <w:keepNext w:val="0"/>
        <w:tabs>
          <w:tab w:pos="9360" w:val="right" w:leader="dot"/>
        </w:tabs>
        <w:spacing w:before="80" w:after="80" w:line="276" w:lineRule="auto"/>
      </w:pPr>
      <w:r>
        <w:rPr>
          <w:rFonts w:ascii="Arial" w:hAnsi="Arial"/>
          <w:b w:val="0"/>
          <w:i w:val="0"/>
          <w:color w:val="2D3748"/>
          <w:sz w:val="20"/>
        </w:rPr>
        <w:t>1. Introducción General</w:t>
        <w:tab/>
        <w:t>2</w:t>
      </w:r>
    </w:p>
    <w:p>
      <w:pPr>
        <w:keepNext w:val="0"/>
        <w:tabs>
          <w:tab w:pos="9360" w:val="right" w:leader="dot"/>
        </w:tabs>
        <w:spacing w:before="80" w:after="80" w:line="276" w:lineRule="auto"/>
        <w:ind w:left="360"/>
      </w:pPr>
      <w:r>
        <w:rPr>
          <w:rFonts w:ascii="Arial" w:hAnsi="Arial"/>
          <w:b w:val="0"/>
          <w:i w:val="0"/>
          <w:color w:val="2D3748"/>
          <w:sz w:val="20"/>
        </w:rPr>
        <w:t>1.1. Resultados Detallados de Conversión</w:t>
        <w:tab/>
        <w:t>2</w:t>
      </w:r>
    </w:p>
    <w:p>
      <w:pPr>
        <w:keepNext w:val="0"/>
        <w:tabs>
          <w:tab w:pos="9360" w:val="right" w:leader="dot"/>
        </w:tabs>
        <w:spacing w:before="80" w:after="80" w:line="276" w:lineRule="auto"/>
        <w:ind w:left="720"/>
      </w:pPr>
      <w:r>
        <w:rPr>
          <w:rFonts w:ascii="Arial" w:hAnsi="Arial"/>
          <w:b w:val="0"/>
          <w:i w:val="0"/>
          <w:color w:val="2D3748"/>
          <w:sz w:val="20"/>
        </w:rPr>
        <w:t>1.1.1. Recomendaciones Estratégicas</w:t>
        <w:tab/>
        <w:t>2</w:t>
      </w:r>
    </w:p>
    <w:p>
      <w:r>
        <w:br w:type="page"/>
      </w:r>
    </w:p>
    <w:p>
      <w:pPr>
        <w:keepNext/>
        <w:spacing w:before="480" w:after="360" w:line="276" w:lineRule="auto"/>
      </w:pPr>
      <w:r>
        <w:rPr>
          <w:rFonts w:ascii="Arial" w:hAnsi="Arial"/>
          <w:b/>
          <w:i w:val="0"/>
          <w:color w:val="011E23"/>
          <w:sz w:val="32"/>
        </w:rPr>
        <w:t>1. Introducción General</w:t>
      </w:r>
    </w:p>
    <w:p>
      <w:pPr>
        <w:keepNext w:val="0"/>
        <w:spacing w:before="0" w:after="120" w:line="276" w:lineRule="auto"/>
        <w:jc w:val="both"/>
      </w:pPr>
      <w:r>
        <w:rPr>
          <w:rFonts w:ascii="Arial" w:hAnsi="Arial"/>
          <w:b w:val="0"/>
          <w:i w:val="0"/>
          <w:color w:val="2D3748"/>
          <w:sz w:val="21"/>
        </w:rPr>
        <w:t>Este documento contiene el reporte de rendimiento del primer trimestre de Convertia, detallando métricas y resultados clave. El objetivo es alinear las estrategias comerciales con los hallazgos del equipo de analítica.</w:t>
      </w:r>
    </w:p>
    <w:p>
      <w:pPr>
        <w:pStyle w:val="ListBullet"/>
        <w:keepNext w:val="0"/>
        <w:spacing w:before="0" w:after="80" w:line="276" w:lineRule="auto"/>
      </w:pPr>
      <w:r>
        <w:rPr>
          <w:rFonts w:ascii="Arial" w:hAnsi="Arial"/>
          <w:b w:val="0"/>
          <w:i w:val="0"/>
          <w:color w:val="2D3748"/>
          <w:sz w:val="21"/>
        </w:rPr>
        <w:t>Lanzamiento de nuevas campañas de captación</w:t>
      </w:r>
    </w:p>
    <w:p>
      <w:pPr>
        <w:pStyle w:val="ListBullet"/>
        <w:keepNext w:val="0"/>
        <w:spacing w:before="0" w:after="80" w:line="276" w:lineRule="auto"/>
      </w:pPr>
      <w:r>
        <w:rPr>
          <w:rFonts w:ascii="Arial" w:hAnsi="Arial"/>
          <w:b w:val="0"/>
          <w:i w:val="0"/>
          <w:color w:val="2D3748"/>
          <w:sz w:val="21"/>
        </w:rPr>
        <w:t>Optimización de embudos en landing pages</w:t>
      </w:r>
    </w:p>
    <w:p>
      <w:pPr>
        <w:pStyle w:val="ListBullet"/>
        <w:keepNext w:val="0"/>
        <w:spacing w:before="0" w:after="80" w:line="276" w:lineRule="auto"/>
      </w:pPr>
      <w:r>
        <w:rPr>
          <w:rFonts w:ascii="Arial" w:hAnsi="Arial"/>
          <w:b w:val="0"/>
          <w:i w:val="0"/>
          <w:color w:val="2D3748"/>
          <w:sz w:val="21"/>
        </w:rPr>
        <w:t>Integración con ConvertiaSuite GPT</w:t>
      </w:r>
    </w:p>
    <w:p>
      <w:pPr>
        <w:keepNext/>
        <w:spacing w:before="360" w:after="160" w:line="276" w:lineRule="auto"/>
      </w:pPr>
      <w:r>
        <w:rPr>
          <w:rFonts w:ascii="Arial" w:hAnsi="Arial"/>
          <w:b/>
          <w:i w:val="0"/>
          <w:color w:val="011E23"/>
          <w:sz w:val="26"/>
        </w:rPr>
        <w:t>1.1. Resultados Detallados de Conversión</w:t>
      </w:r>
    </w:p>
    <w:p>
      <w:pPr>
        <w:keepNext w:val="0"/>
        <w:spacing w:before="0" w:after="120" w:line="276" w:lineRule="auto"/>
        <w:jc w:val="both"/>
      </w:pPr>
      <w:r>
        <w:rPr>
          <w:rFonts w:ascii="Arial" w:hAnsi="Arial"/>
          <w:b w:val="0"/>
          <w:i w:val="0"/>
          <w:color w:val="2D3748"/>
          <w:sz w:val="21"/>
        </w:rPr>
        <w:t>A continuación se presentan los datos numéricos tabulados correspondientes a las métricas de conversión y ventas del canal principal durante el Q1.</w:t>
      </w:r>
    </w:p>
    <w:p>
      <w:pPr>
        <w:keepNext/>
        <w:spacing w:before="240" w:after="80" w:line="276" w:lineRule="auto"/>
      </w:pPr>
      <w:r>
        <w:rPr>
          <w:rFonts w:ascii="Arial" w:hAnsi="Arial"/>
          <w:b/>
          <w:i w:val="0"/>
          <w:color w:val="718096"/>
          <w:sz w:val="18"/>
        </w:rPr>
        <w:t>MÉTRICAS DE RENDIMIENTO Q1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FFC"/>
          <w:bottom w:val="single" w:sz="4" w:space="0" w:color="DBDFFC"/>
          <w:left w:val="single" w:sz="4" w:space="0" w:color="DBDFFC"/>
          <w:right w:val="single" w:sz="4" w:space="0" w:color="DBDFFC"/>
          <w:insideH w:val="single" w:sz="4" w:space="0" w:color="DBDFFC"/>
          <w:insideV w:val="single" w:sz="4" w:space="0" w:color="DBDFFC"/>
        </w:tblBorders>
        <w:tblCellMar>
          <w:top w:w="100" w:type="dxa"/>
          <w:bottom w:w="100" w:type="dxa"/>
          <w:left w:w="150" w:type="dxa"/>
          <w:right w:w="15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11E23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Métrica</w:t>
            </w:r>
          </w:p>
        </w:tc>
        <w:tc>
          <w:tcPr>
            <w:tcW w:type="dxa" w:w="2340"/>
            <w:shd w:fill="011E23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Enero</w:t>
            </w:r>
          </w:p>
        </w:tc>
        <w:tc>
          <w:tcPr>
            <w:tcW w:type="dxa" w:w="2340"/>
            <w:shd w:fill="011E23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Febrero</w:t>
            </w:r>
          </w:p>
        </w:tc>
        <w:tc>
          <w:tcPr>
            <w:tcW w:type="dxa" w:w="2340"/>
            <w:shd w:fill="011E23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Marzo</w:t>
            </w:r>
          </w:p>
        </w:tc>
      </w:tr>
      <w:tr>
        <w:tc>
          <w:tcPr>
            <w:tcW w:type="dxa" w:w="2340"/>
            <w:shd w:fill="FFFFFF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</w:rPr>
              <w:t>Clientes Nuevos</w:t>
            </w:r>
          </w:p>
        </w:tc>
        <w:tc>
          <w:tcPr>
            <w:tcW w:type="dxa" w:w="2340"/>
            <w:shd w:fill="FFFFFF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</w:rPr>
              <w:t>150</w:t>
            </w:r>
          </w:p>
        </w:tc>
        <w:tc>
          <w:tcPr>
            <w:tcW w:type="dxa" w:w="2340"/>
            <w:shd w:fill="FFFFFF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</w:rPr>
              <w:t>180</w:t>
            </w:r>
          </w:p>
        </w:tc>
        <w:tc>
          <w:tcPr>
            <w:tcW w:type="dxa" w:w="2340"/>
            <w:shd w:fill="FFFFFF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</w:rPr>
              <w:t>210</w:t>
            </w:r>
          </w:p>
        </w:tc>
      </w:tr>
      <w:tr>
        <w:tc>
          <w:tcPr>
            <w:tcW w:type="dxa" w:w="2340"/>
            <w:shd w:fill="F5F5F5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</w:rPr>
              <w:t>Tasa de Conversión</w:t>
            </w:r>
          </w:p>
        </w:tc>
        <w:tc>
          <w:tcPr>
            <w:tcW w:type="dxa" w:w="2340"/>
            <w:shd w:fill="F5F5F5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</w:rPr>
              <w:t>2.4%</w:t>
            </w:r>
          </w:p>
        </w:tc>
        <w:tc>
          <w:tcPr>
            <w:tcW w:type="dxa" w:w="2340"/>
            <w:shd w:fill="F5F5F5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</w:rPr>
              <w:t>2.7%</w:t>
            </w:r>
          </w:p>
        </w:tc>
        <w:tc>
          <w:tcPr>
            <w:tcW w:type="dxa" w:w="2340"/>
            <w:shd w:fill="F5F5F5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</w:rPr>
              <w:t>3.1%</w:t>
            </w:r>
          </w:p>
        </w:tc>
      </w:tr>
      <w:tr>
        <w:tc>
          <w:tcPr>
            <w:tcW w:type="dxa" w:w="2340"/>
            <w:shd w:fill="FFFFFF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</w:rPr>
              <w:t>Ingresos (USD)</w:t>
            </w:r>
          </w:p>
        </w:tc>
        <w:tc>
          <w:tcPr>
            <w:tcW w:type="dxa" w:w="2340"/>
            <w:shd w:fill="FFFFFF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</w:rPr>
              <w:t>15000</w:t>
            </w:r>
          </w:p>
        </w:tc>
        <w:tc>
          <w:tcPr>
            <w:tcW w:type="dxa" w:w="2340"/>
            <w:shd w:fill="FFFFFF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</w:rPr>
              <w:t>18500</w:t>
            </w:r>
          </w:p>
        </w:tc>
        <w:tc>
          <w:tcPr>
            <w:tcW w:type="dxa" w:w="2340"/>
            <w:shd w:fill="FFFFFF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</w:rPr>
              <w:t>22000</w:t>
            </w:r>
          </w:p>
        </w:tc>
      </w:tr>
    </w:tbl>
    <w:p>
      <w:pPr>
        <w:keepNext w:val="0"/>
        <w:spacing w:before="0" w:after="200" w:line="276" w:lineRule="auto"/>
      </w:pPr>
    </w:p>
    <w:p>
      <w:pPr>
        <w:keepNext/>
        <w:spacing w:before="280" w:after="120" w:line="276" w:lineRule="auto"/>
      </w:pPr>
      <w:r>
        <w:rPr>
          <w:rFonts w:ascii="Arial" w:hAnsi="Arial"/>
          <w:b/>
          <w:i w:val="0"/>
          <w:color w:val="2D3748"/>
          <w:sz w:val="23"/>
        </w:rPr>
        <w:t>1.1.1. Recomendaciones Estratégicas</w:t>
      </w:r>
    </w:p>
    <w:p>
      <w:pPr>
        <w:keepNext w:val="0"/>
        <w:spacing w:before="0" w:after="120" w:line="276" w:lineRule="auto"/>
        <w:jc w:val="both"/>
      </w:pPr>
      <w:r>
        <w:rPr>
          <w:rFonts w:ascii="Arial" w:hAnsi="Arial"/>
          <w:b w:val="0"/>
          <w:i w:val="0"/>
          <w:color w:val="2D3748"/>
          <w:sz w:val="21"/>
        </w:rPr>
        <w:t>Se sugiere mantener el enfoque en la optimización de costes por adquisición y expandir el canal de búsqueda pagada en mercados secundarios.</w:t>
      </w:r>
    </w:p>
    <w:p>
      <w:pPr>
        <w:pStyle w:val="ListBullet"/>
        <w:keepNext w:val="0"/>
        <w:spacing w:before="0" w:after="80" w:line="276" w:lineRule="auto"/>
      </w:pPr>
      <w:r>
        <w:rPr>
          <w:rFonts w:ascii="Arial" w:hAnsi="Arial"/>
          <w:b w:val="0"/>
          <w:i w:val="0"/>
          <w:color w:val="2D3748"/>
          <w:sz w:val="21"/>
        </w:rPr>
        <w:t>Aumentar presupuesto en Google Ads un 15%</w:t>
      </w:r>
    </w:p>
    <w:p>
      <w:pPr>
        <w:pStyle w:val="ListBullet"/>
        <w:keepNext w:val="0"/>
        <w:spacing w:before="0" w:after="80" w:line="276" w:lineRule="auto"/>
      </w:pPr>
      <w:r>
        <w:rPr>
          <w:rFonts w:ascii="Arial" w:hAnsi="Arial"/>
          <w:b w:val="0"/>
          <w:i w:val="0"/>
          <w:color w:val="2D3748"/>
          <w:sz w:val="21"/>
        </w:rPr>
        <w:t>Refinar audiencias de remarketing en Meta</w:t>
      </w:r>
    </w:p>
    <w:p>
      <w:pPr>
        <w:pStyle w:val="ListBullet"/>
        <w:keepNext w:val="0"/>
        <w:spacing w:before="0" w:after="80" w:line="276" w:lineRule="auto"/>
      </w:pPr>
      <w:r>
        <w:rPr>
          <w:rFonts w:ascii="Arial" w:hAnsi="Arial"/>
          <w:b w:val="0"/>
          <w:i w:val="0"/>
          <w:color w:val="2D3748"/>
          <w:sz w:val="21"/>
        </w:rPr>
        <w:t>Desplegar el nuevo chatbot automatizado</w:t>
      </w:r>
    </w:p>
    <w:p>
      <w:r>
        <w:br w:type="page"/>
      </w:r>
    </w:p>
    <w:p>
      <w:pPr>
        <w:keepNext w:val="0"/>
        <w:spacing w:before="480" w:after="360" w:line="276" w:lineRule="auto"/>
      </w:pPr>
      <w:r>
        <w:rPr>
          <w:rFonts w:ascii="Arial" w:hAnsi="Arial"/>
          <w:b/>
          <w:i w:val="0"/>
          <w:color w:val="011E23"/>
          <w:sz w:val="32"/>
        </w:rPr>
        <w:t>4. Ejemplo de tabla</w:t>
      </w:r>
    </w:p>
    <w:p>
      <w:pPr>
        <w:keepNext/>
        <w:spacing w:before="240" w:after="80" w:line="276" w:lineRule="auto"/>
      </w:pPr>
      <w:r>
        <w:rPr>
          <w:rFonts w:ascii="Arial" w:hAnsi="Arial"/>
          <w:b/>
          <w:i w:val="0"/>
          <w:color w:val="718096"/>
          <w:sz w:val="18"/>
        </w:rPr>
        <w:t>MÉTRICAS DE RENDIMIENTO Q1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FFC"/>
          <w:bottom w:val="single" w:sz="4" w:space="0" w:color="DBDFFC"/>
          <w:left w:val="single" w:sz="4" w:space="0" w:color="DBDFFC"/>
          <w:right w:val="single" w:sz="4" w:space="0" w:color="DBDFFC"/>
          <w:insideH w:val="single" w:sz="4" w:space="0" w:color="DBDFFC"/>
          <w:insideV w:val="single" w:sz="4" w:space="0" w:color="DBDFFC"/>
        </w:tblBorders>
        <w:tblCellMar>
          <w:top w:w="100" w:type="dxa"/>
          <w:bottom w:w="100" w:type="dxa"/>
          <w:left w:w="150" w:type="dxa"/>
          <w:right w:w="15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11E23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Métrica</w:t>
            </w:r>
          </w:p>
        </w:tc>
        <w:tc>
          <w:tcPr>
            <w:tcW w:type="dxa" w:w="2340"/>
            <w:shd w:fill="011E23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Enero</w:t>
            </w:r>
          </w:p>
        </w:tc>
        <w:tc>
          <w:tcPr>
            <w:tcW w:type="dxa" w:w="2340"/>
            <w:shd w:fill="011E23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Febrero</w:t>
            </w:r>
          </w:p>
        </w:tc>
        <w:tc>
          <w:tcPr>
            <w:tcW w:type="dxa" w:w="2340"/>
            <w:shd w:fill="011E23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Marzo</w:t>
            </w:r>
          </w:p>
        </w:tc>
      </w:tr>
      <w:tr>
        <w:tc>
          <w:tcPr>
            <w:tcW w:type="dxa" w:w="2340"/>
            <w:shd w:fill="FFFFFF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</w:rPr>
              <w:t>Clientes Nuevos</w:t>
            </w:r>
          </w:p>
        </w:tc>
        <w:tc>
          <w:tcPr>
            <w:tcW w:type="dxa" w:w="2340"/>
            <w:shd w:fill="FFFFFF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</w:rPr>
              <w:t>150</w:t>
            </w:r>
          </w:p>
        </w:tc>
        <w:tc>
          <w:tcPr>
            <w:tcW w:type="dxa" w:w="2340"/>
            <w:shd w:fill="FFFFFF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</w:rPr>
              <w:t>180</w:t>
            </w:r>
          </w:p>
        </w:tc>
        <w:tc>
          <w:tcPr>
            <w:tcW w:type="dxa" w:w="2340"/>
            <w:shd w:fill="FFFFFF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</w:rPr>
              <w:t>210</w:t>
            </w:r>
          </w:p>
        </w:tc>
      </w:tr>
      <w:tr>
        <w:tc>
          <w:tcPr>
            <w:tcW w:type="dxa" w:w="2340"/>
            <w:shd w:fill="F5F5F5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</w:rPr>
              <w:t>Tasa de Conversión</w:t>
            </w:r>
          </w:p>
        </w:tc>
        <w:tc>
          <w:tcPr>
            <w:tcW w:type="dxa" w:w="2340"/>
            <w:shd w:fill="F5F5F5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</w:rPr>
              <w:t>2.4%</w:t>
            </w:r>
          </w:p>
        </w:tc>
        <w:tc>
          <w:tcPr>
            <w:tcW w:type="dxa" w:w="2340"/>
            <w:shd w:fill="F5F5F5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</w:rPr>
              <w:t>2.7%</w:t>
            </w:r>
          </w:p>
        </w:tc>
        <w:tc>
          <w:tcPr>
            <w:tcW w:type="dxa" w:w="2340"/>
            <w:shd w:fill="F5F5F5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</w:rPr>
              <w:t>3.1%</w:t>
            </w:r>
          </w:p>
        </w:tc>
      </w:tr>
      <w:tr>
        <w:tc>
          <w:tcPr>
            <w:tcW w:type="dxa" w:w="2340"/>
            <w:shd w:fill="FFFFFF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</w:rPr>
              <w:t>Ingresos (USD)</w:t>
            </w:r>
          </w:p>
        </w:tc>
        <w:tc>
          <w:tcPr>
            <w:tcW w:type="dxa" w:w="2340"/>
            <w:shd w:fill="FFFFFF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</w:rPr>
              <w:t>15000</w:t>
            </w:r>
          </w:p>
        </w:tc>
        <w:tc>
          <w:tcPr>
            <w:tcW w:type="dxa" w:w="2340"/>
            <w:shd w:fill="FFFFFF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</w:rPr>
              <w:t>18500</w:t>
            </w:r>
          </w:p>
        </w:tc>
        <w:tc>
          <w:tcPr>
            <w:tcW w:type="dxa" w:w="2340"/>
            <w:shd w:fill="FFFFFF"/>
            <w:vAlign w:val="center"/>
          </w:tcPr>
          <w:p>
            <w:pPr>
              <w:keepNext w:val="0"/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</w:rPr>
              <w:t>22000</w:t>
            </w:r>
          </w:p>
        </w:tc>
      </w:tr>
    </w:tbl>
    <w:p>
      <w:pPr>
        <w:keepNext w:val="0"/>
        <w:spacing w:before="0" w:after="200" w:line="276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6480"/>
        </w:tcPr>
        <w:p>
          <w:pPr>
            <w:keepNext w:val="0"/>
            <w:spacing w:before="0" w:after="0" w:line="276" w:lineRule="auto"/>
          </w:pPr>
          <w:r>
            <w:rPr>
              <w:rFonts w:ascii="Arial" w:hAnsi="Arial"/>
              <w:b w:val="0"/>
              <w:i w:val="0"/>
              <w:color w:val="718096"/>
              <w:sz w:val="16"/>
            </w:rPr>
            <w:t>© Intelligence Customer Acquisition — Convertia — Documentación interna</w:t>
          </w:r>
        </w:p>
      </w:tc>
      <w:tc>
        <w:tcPr>
          <w:tcW w:type="dxa" w:w="2880"/>
        </w:tcPr>
        <w:p>
          <w:pPr>
            <w:keepNext w:val="0"/>
            <w:spacing w:before="0" w:after="0" w:line="276" w:lineRule="auto"/>
            <w:jc w:val="right"/>
          </w:pPr>
          <w:r>
            <w:rPr>
              <w:rFonts w:ascii="Arial" w:hAnsi="Arial"/>
              <w:b w:val="0"/>
              <w:i w:val="0"/>
              <w:color w:val="718096"/>
              <w:sz w:val="16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20040" cy="3200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nvertia_doc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