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875E1"/>
          <w:spacing w:val="40"/>
          <w:sz w:val="18"/>
          <w:szCs w:val="18"/>
        </w:rPr>
        <w:t xml:space="preserve">WORKDAY REPORTING TOOLING</w:t>
      </w:r>
    </w:p>
    <w:p>
      <w:pPr>
        <w:pBdr>
          <w:bottom w:val="single" w:color="D9DEE5" w:sz="12" w:space="6"/>
        </w:pBdr>
        <w:spacing w:after="80"/>
      </w:pPr>
      <w:r>
        <w:rPr>
          <w:rFonts w:ascii="Cambria" w:cs="Cambria" w:eastAsia="Cambria" w:hAnsi="Cambria"/>
          <w:b/>
          <w:bCs/>
          <w:color w:val="003F7D"/>
          <w:sz w:val="44"/>
          <w:szCs w:val="44"/>
        </w:rPr>
        <w:t xml:space="preserve">CF Inventory Explorer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67685"/>
          <w:sz w:val="22"/>
          <w:szCs w:val="22"/>
        </w:rPr>
        <w:t xml:space="preserve">High-Level Overview  ·  Single-file HTML tool  ·  Author: Prasanna Krishna Reddy Ch</w:t>
      </w:r>
    </w:p>
    <w:p>
      <w:pPr>
        <w:pStyle w:val="Heading1"/>
        <w:spacing w:after="120" w:before="260"/>
      </w:pPr>
      <w:r>
        <w:t xml:space="preserve">Purpose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Where Data Discovery helps design new calculated fields, CF Inventory Explorer governs the ones that already exist. It turns a flat inventory export into a navigable dependency graph: what each CF is built from, what is built on it, where it is consumed, and what it would take to rebuild it in another tenant.</w:t>
      </w:r>
    </w:p>
    <w:p>
      <w:pPr>
        <w:pStyle w:val="Heading1"/>
        <w:spacing w:after="120" w:before="260"/>
      </w:pPr>
      <w:r>
        <w:t xml:space="preserve">Business value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Change safety: see the full downstream blast radius before touching a hub calculated field.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Cleanup: identify unused CFs that nothing depends on, and Do-Not-Use fields still in production use.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Migration: produce a dependency-safe build order for recreating a CF, or a report’s CFs, in a target tenant.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Transparency: answer “which reports use this field?” in seconds instead of a manual Where-Used hunt.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Onboarding: understand an unfamiliar tenant’s CF landscape in minutes.</w:t>
      </w:r>
    </w:p>
    <w:p>
      <w:pPr>
        <w:pStyle w:val="Heading1"/>
        <w:spacing w:after="120" w:before="260"/>
      </w:pPr>
      <w:r>
        <w:t xml:space="preserve">How it works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Attach one JSON — the Master Calculated Field DDR export, including the Reference ID column. The tool indexes every CF by reference ID, builds the upstream and downstream chains, reverses the where-used data into a consumer index, and derives field cardinality from objective facts in the file itself.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Six tabs then cover the workflow: Inventory Dashboard, CF Lineage Explorer, Impact Analysis, Governance &amp; Cleanup, Usage Explorer, and Browse Inventory.</w:t>
      </w:r>
    </w:p>
    <w:tbl>
      <w:tblPr>
        <w:tblW w:type="dxa" w:w="9360"/>
        <w:tblBorders>
          <w:top w:val="single" w:color="D9DEE5" w:sz="4"/>
          <w:left w:val="single" w:color="0875E1" w:sz="18"/>
          <w:bottom w:val="single" w:color="D9DEE5" w:sz="4"/>
          <w:right w:val="single" w:color="D9DE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3F7D"/>
                <w:sz w:val="21"/>
                <w:szCs w:val="21"/>
              </w:rPr>
              <w:t xml:space="preserve">Design principle</w:t>
            </w:r>
          </w:p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Proven facts render in blue; anything the export cannot prove renders in red as “Depends on User requirement”, with the governing rule stated. A wrong slot assignment silently breaks a build in the target tenant — a red line costs ten seconds of judgment.</w:t>
            </w:r>
          </w:p>
        </w:tc>
      </w:tr>
    </w:tbl>
    <w:p>
      <w:pPr>
        <w:pStyle w:val="Heading1"/>
        <w:spacing w:after="120" w:before="260"/>
      </w:pPr>
      <w:r>
        <w:t xml:space="preserve">Capabilities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rPr>
          <w:tblHeader/>
        </w:trPr>
        <w:tc>
          <w:tcPr>
            <w:tcW w:type="dxa" w:w="2448"/>
            <w:shd w:fill="003F7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11"/>
            <w:shd w:fill="003F7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44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Inventory Dashboard</w:t>
            </w:r>
          </w:p>
        </w:tc>
        <w:tc>
          <w:tcPr>
            <w:tcW w:type="dxa" w:w="691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Function mix (all 34), top Business Objects, in-use vs unused, shared vs standalone, longest chain depth</w:t>
            </w:r>
          </w:p>
        </w:tc>
      </w:tr>
      <w:tr>
        <w:tc>
          <w:tcPr>
            <w:tcW w:type="dxa" w:w="2448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CF Lineage Explorer</w:t>
            </w:r>
          </w:p>
        </w:tc>
        <w:tc>
          <w:tcPr>
            <w:tcW w:type="dxa" w:w="6911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CF definition, Built From (upstream), Where Used tree traversed until blank, Replication Kit</w:t>
            </w:r>
          </w:p>
        </w:tc>
      </w:tr>
      <w:tr>
        <w:tc>
          <w:tcPr>
            <w:tcW w:type="dxa" w:w="244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Impact Analysis</w:t>
            </w:r>
          </w:p>
        </w:tc>
        <w:tc>
          <w:tcPr>
            <w:tcW w:type="dxa" w:w="691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Full recursive downstream closure: affected CFs, levels, BOs hit, shared and Do-Not-Use exposure</w:t>
            </w:r>
          </w:p>
        </w:tc>
      </w:tr>
      <w:tr>
        <w:tc>
          <w:tcPr>
            <w:tcW w:type="dxa" w:w="2448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Governance &amp; Cleanup</w:t>
            </w:r>
          </w:p>
        </w:tc>
        <w:tc>
          <w:tcPr>
            <w:tcW w:type="dxa" w:w="6911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Safe-delete candidates, Do-Not-Use exposure, replication blockers, consolidation candidates</w:t>
            </w:r>
          </w:p>
        </w:tc>
      </w:tr>
      <w:tr>
        <w:tc>
          <w:tcPr>
            <w:tcW w:type="dxa" w:w="244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Usage Explorer</w:t>
            </w:r>
          </w:p>
        </w:tc>
        <w:tc>
          <w:tcPr>
            <w:tcW w:type="dxa" w:w="6911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Reverse index of consumers — reports, condition rules, integrations — with the CFs each one uses</w:t>
            </w:r>
          </w:p>
        </w:tc>
      </w:tr>
      <w:tr>
        <w:tc>
          <w:tcPr>
            <w:tcW w:type="dxa" w:w="2448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Browse Inventory</w:t>
            </w:r>
          </w:p>
        </w:tc>
        <w:tc>
          <w:tcPr>
            <w:tcW w:type="dxa" w:w="6911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Filterable catalogue by name, BO, function, in-use, shared and DNU status</w:t>
            </w:r>
          </w:p>
        </w:tc>
      </w:tr>
    </w:tbl>
    <w:p>
      <w:pPr>
        <w:spacing w:before="200"/>
      </w:pPr>
    </w:p>
    <w:p>
      <w:pPr>
        <w:pStyle w:val="Heading1"/>
        <w:spacing w:after="120" w:before="260"/>
      </w:pPr>
      <w:r>
        <w:t xml:space="preserve">The Replication Kit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 any calculated field, the tool computes the complete upstream ingredient closure and prints a numbered, dependency-safe build order — every CF appears after everything it is built from. Each step can be viewed as a compact list entry or as a collapsible replica of the Workday Calculated Field page, with function-accurate form rows for all 34 CF functions.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Standard fields are colour-coded: blue when the field is new at that step, amber when it repeats from an earlier step — which is how you read a long chain without re-checking every card.</w:t>
      </w:r>
    </w:p>
    <w:tbl>
      <w:tblPr>
        <w:tblW w:type="dxa" w:w="9360"/>
        <w:tblBorders>
          <w:top w:val="single" w:color="D9DEE5" w:sz="4"/>
          <w:left w:val="single" w:color="B26A00" w:sz="18"/>
          <w:bottom w:val="single" w:color="D9DEE5" w:sz="4"/>
          <w:right w:val="single" w:color="D9DE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8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3F7D"/>
                <w:sz w:val="21"/>
                <w:szCs w:val="21"/>
              </w:rPr>
              <w:t xml:space="preserve">Caution — a scaffold, not a specification</w:t>
            </w:r>
          </w:p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Every function’s design can vary with the requirement: different conditions, sort fields, occurrences, operation types, formats and return values. The cards show the correct form structure and everything the export can prove, but they will not always be a 100% match to what must be built. Review each card against the requirement before building.</w:t>
            </w:r>
          </w:p>
        </w:tc>
      </w:tr>
    </w:tbl>
    <w:p>
      <w:pPr>
        <w:pStyle w:val="Heading1"/>
        <w:spacing w:after="120" w:before="260"/>
      </w:pPr>
      <w:r>
        <w:t xml:space="preserve">Scale and performance</w:t>
      </w:r>
    </w:p>
    <w:p>
      <w:pPr>
        <w:spacing w:after="11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Verified on a full tenant export of 28,658 calculated fields: index build in roughly 0.2 seconds, every tab instant thereafter. A representative tenant showed 14 levels of CF-on-CF nesting, 3,393 safe-delete candidates, 212 Do-Not-Use flags and 9,946 distinct consumers.</w:t>
      </w:r>
    </w:p>
    <w:p>
      <w:pPr>
        <w:pStyle w:val="Heading1"/>
        <w:spacing w:after="120" w:before="260"/>
      </w:pPr>
      <w:r>
        <w:t xml:space="preserve">Deployment and security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single HTML file — no installation, no server, no database.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All processing happens in the browser; the inventory export never leaves the machine.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Portable: works on any tenant’s Master CF DDR export with the same schema.</w:t>
      </w:r>
    </w:p>
    <w:p>
      <w:pPr>
        <w:pStyle w:val="Heading1"/>
        <w:spacing w:after="120" w:before="260"/>
      </w:pPr>
      <w:r>
        <w:t xml:space="preserve">Limitations to set expectations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Replication Kit is a scaffold, not a specification — function designs vary by requirement and the cards will not always be a 100% match to the CF you must build.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export contains no condition logic or saved form settings, so operators, formats and thresholds cannot be recovered — these appear as explicit red placeholders.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Consolidation candidates are review lists, not proven duplicates.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Chain accuracy depends on the Reference ID column being present in the export.</w:t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667685"/>
          <w:sz w:val="19"/>
          <w:szCs w:val="19"/>
        </w:rPr>
        <w:t xml:space="preserve">Companion documents: CF-Inventory-Explorer_User_Guide.md (full reference) and CF-Inventory-Explorer_How-To-Use.pptx (walkthrough with screenshots).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03F7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875E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 Inventory Explorer — High-Level Overview</dc:title>
  <dc:creator>Prasanna Krishna Reddy Ch</dc:creator>
  <cp:lastModifiedBy>Un-named</cp:lastModifiedBy>
  <cp:revision>1</cp:revision>
  <dcterms:created xsi:type="dcterms:W3CDTF">2026-07-12T16:52:08.518Z</dcterms:created>
  <dcterms:modified xsi:type="dcterms:W3CDTF">2026-07-12T16:52:08.518Z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