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2733"/>
          <w:sz w:val="36"/>
          <w:szCs w:val="36"/>
        </w:rPr>
        <w:t xml:space="preserve">Homogenization of the Malaysia–Singapore historical rainfall archive</w:t>
      </w:r>
    </w:p>
    <w:p>
      <w:pPr>
        <w:spacing w:after="60"/>
      </w:pPr>
      <w:r>
        <w:rPr>
          <w:color w:val="5B6B7A"/>
          <w:sz w:val="22"/>
          <w:szCs w:val="22"/>
        </w:rPr>
        <w:t xml:space="preserve">Break detection, correction and infilling of monthly station rainfall, 1875–1958</w:t>
      </w:r>
    </w:p>
    <w:p>
      <w:pPr>
        <w:spacing w:after="200"/>
      </w:pPr>
      <w:r>
        <w:rPr>
          <w:color w:val="5B6B7A"/>
          <w:sz w:val="20"/>
          <w:szCs w:val="20"/>
        </w:rPr>
        <w:t xml:space="preserve">Climatol method + RHtestsV4 confirmation  ·  27 August 2026</w:t>
      </w:r>
    </w:p>
    <w:tbl>
      <w:tblPr>
        <w:tblW w:type="dxa" w:w="9500"/>
        <w:tblBorders>
          <w:top w:val="single" w:color="DCE2E8" w:sz="4"/>
          <w:left w:val="single" w:color="DCE2E8" w:sz="4"/>
          <w:bottom w:val="single" w:color="DCE2E8" w:sz="4"/>
          <w:right w:val="single" w:color="DCE2E8" w:sz="4"/>
          <w:insideH w:val="single" w:color="DCE2E8" w:sz="4"/>
          <w:insideV w:val="single" w:color="DCE2E8" w:sz="4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Stations (≤1958)</w:t>
            </w:r>
          </w:p>
        </w:tc>
        <w:tc>
          <w:tcPr>
            <w:tcW w:type="dxa" w:w="19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Eligible (≥10 yr)</w:t>
            </w:r>
          </w:p>
        </w:tc>
        <w:tc>
          <w:tcPr>
            <w:tcW w:type="dxa" w:w="19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Breaks detected</w:t>
            </w:r>
          </w:p>
        </w:tc>
        <w:tc>
          <w:tcPr>
            <w:tcW w:type="dxa" w:w="19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Stations adjusted</w:t>
            </w:r>
          </w:p>
        </w:tc>
        <w:tc>
          <w:tcPr>
            <w:tcW w:type="dxa" w:w="19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Breaks in 1946–53</w:t>
            </w:r>
          </w:p>
        </w:tc>
      </w:tr>
      <w:t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672</w:t>
            </w:r>
          </w:p>
        </w:tc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529</w:t>
            </w:r>
          </w:p>
        </w:tc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41%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This report documents an end-to-end homogenization of the pre-1958 Malaysia/Singapore monthly rainfall archive: how artificial breaks were detected against a network of neighbouring stations, how affected series were corrected, how gaps were filled, and how an independent test graded the confidence of each break. The dominant artificial signal is a cluster of breaks in the years immediately after the Second World War.</w:t>
      </w:r>
    </w:p>
    <w:p>
      <w:pPr>
        <w:pBdr>
          <w:top w:val="single" w:color="F0D3AC" w:sz="4" w:space="6"/>
          <w:bottom w:val="single" w:color="F0D3AC" w:sz="4" w:space="6"/>
          <w:left w:val="single" w:color="C1662A" w:sz="18" w:space="8"/>
          <w:right w:val="single" w:color="F0D3AC" w:sz="4" w:space="6"/>
        </w:pBdr>
        <w:shd w:fill="FFF6EC" w:val="clear"/>
        <w:spacing w:after="160" w:before="80"/>
      </w:pPr>
      <w:r>
        <w:rPr>
          <w:b/>
          <w:bCs/>
        </w:rPr>
        <w:t xml:space="preserve">Tooling note.  </w:t>
      </w:r>
      <w:r>
        <w:t xml:space="preserve">The genuine climatol and RHtestsV4 R packages could not be installed in the execution sandbox (CRAN, conda and r-universe are firewalled there). Results were produced by a faithful Python implementation of the published algorithms, validated against synthetic series with known injected breaks. Ready-to-run scripts for the real R packages (run_climatol.R, run_rhtests.R) are included so the analysis reproduces on a CRAN-connected machine; small numerical differences from the packaged tools are expected but the break structure should be stable.</w:t>
      </w:r>
    </w:p>
    <w:p>
      <w:pPr>
        <w:pStyle w:val="Heading1"/>
        <w:pBdr>
          <w:bottom w:val="single" w:color="2F6F9F" w:sz="10" w:space="4"/>
        </w:pBdr>
        <w:spacing w:after="140" w:before="320"/>
      </w:pPr>
      <w:r>
        <w:rPr>
          <w:b/>
          <w:bCs/>
          <w:color w:val="2F6F9F"/>
        </w:rPr>
        <w:t xml:space="preserve">1. Data and scope</w:t>
      </w:r>
    </w:p>
    <w:p>
      <w:pPr>
        <w:spacing w:after="120" w:line="300"/>
      </w:pPr>
      <w:r>
        <w:t xml:space="preserve">The source archive merges historical monthly rainfall (inches) for the Malay Peninsula and Singapore with data-rescue records from Sumatra, Borneo and the intervening islands. Records were restricted to </w:t>
      </w:r>
      <w:r>
        <w:rPr>
          <w:b/>
          <w:bCs/>
        </w:rPr>
        <w:t xml:space="preserve">year ≤ 1958</w:t>
      </w:r>
      <w:r>
        <w:t xml:space="preserve"> — the year the peninsular series close — giving 14,549 station-years from 672 stations. This restricted core is denser and more complete than the full archive (6.5% monthly missing vs 10% with the post-1958 tail). Seven previously-empty Selangor stations were populated from newly transcribed records before this run.</w:t>
      </w:r>
    </w:p>
    <w:p>
      <w:pPr>
        <w:spacing w:after="120" w:line="300"/>
      </w:pPr>
      <w:r>
        <w:t xml:space="preserve">The defining feature for homogenization is that these are </w:t>
      </w:r>
      <w:r>
        <w:rPr>
          <w:b/>
          <w:bCs/>
        </w:rPr>
        <w:t xml:space="preserve">many short, staggered, overlapping records</w:t>
      </w:r>
      <w:r>
        <w:t xml:space="preserve">: a median of ~18–26 data-years per station, with only 164 reaching 30 years. Combined with the low spatial correlation of equatorial rainfall and the absence of any station-move metadata, this makes every detected break undocumented and places the archive among the harder homogenization problems.</w:t>
      </w:r>
    </w:p>
    <w:p>
      <w:pPr>
        <w:pStyle w:val="Heading1"/>
        <w:pBdr>
          <w:bottom w:val="single" w:color="2F6F9F" w:sz="10" w:space="4"/>
        </w:pBdr>
        <w:spacing w:after="140" w:before="320"/>
      </w:pPr>
      <w:r>
        <w:rPr>
          <w:b/>
          <w:bCs/>
          <w:color w:val="2F6F9F"/>
        </w:rPr>
        <w:t xml:space="preserve">2. Method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2.1 Preparation and quality control</w:t>
      </w:r>
    </w:p>
    <w:p>
      <w:pPr>
        <w:spacing w:after="120" w:line="300"/>
      </w:pPr>
      <w:r>
        <w:t xml:space="preserve">The wide table was reshaped onto a common 1875–1958 monthly frame (1,008 months × 672 stations with coordinates), plus annual totals (only where all 12 months are present) and monsoon-season totals. Detection uses </w:t>
      </w:r>
      <w:r>
        <w:rPr>
          <w:b/>
          <w:bCs/>
        </w:rPr>
        <w:t xml:space="preserve">annual totals</w:t>
      </w:r>
      <w:r>
        <w:t xml:space="preserve"> (more Gaussian, higher signal-to-noise for rainfall); corrections are applied monthly. Impossible values (negative or &gt;150 in/month) were masked — none occurred, so all real extremes were kept — and reconcile-flagged rows retained. Stations with </w:t>
      </w:r>
      <w:r>
        <w:rPr>
          <w:b/>
          <w:bCs/>
        </w:rPr>
        <w:t xml:space="preserve">≥10 data-years</w:t>
      </w:r>
      <w:r>
        <w:t xml:space="preserve"> are eligible (529); shorter ones are carried through for infilling only.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2.2 Neighbour network</w:t>
      </w:r>
    </w:p>
    <w:p>
      <w:pPr>
        <w:spacing w:after="120" w:line="300"/>
      </w:pPr>
      <w:r>
        <w:t xml:space="preserve">Because rainfall de-correlates quickly here, each station’s reference is a distance-weighted mean of normalized neighbours, capped at the 10 nearest within 200 km (Gaussian, 60 km scale) with a minimum annual-anomaly correlation of 0.10. 525 eligible stations obtained a usable neighbour; the very thin regions (Singapore, Perlis, Province Wellesley, Sabah, Sarawak) are effectively absolute-only and are flagged.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2.3 Detection — Climatol method (SNHT on a relative series)</w:t>
      </w:r>
    </w:p>
    <w:p>
      <w:pPr>
        <w:spacing w:after="120" w:line="300"/>
      </w:pPr>
      <w:r>
        <w:t xml:space="preserve">Series were ratio-normalized (divided by their mean). A neighbour reference was built in ratio space and the candidate-minus-reference anomaly tested with the </w:t>
      </w:r>
      <w:r>
        <w:rPr>
          <w:b/>
          <w:bCs/>
        </w:rPr>
        <w:t xml:space="preserve">Standard Normal Homogeneity Test</w:t>
      </w:r>
      <w:r>
        <w:t xml:space="preserve">, applied recursively for multiple breakpoints (minimum segment 5 years, 95% Monte-Carlo critical values). References were then rebuilt from the provisionally-corrected series and detection repeated — two outer passes — so a single broken neighbour cannot contaminate the references.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2.4 Correction and infilling</w:t>
      </w:r>
    </w:p>
    <w:p>
      <w:pPr>
        <w:spacing w:after="120" w:line="300"/>
      </w:pPr>
      <w:r>
        <w:rPr>
          <w:b/>
          <w:bCs/>
        </w:rPr>
        <w:t xml:space="preserve">Multiplicative</w:t>
      </w:r>
      <w:r>
        <w:t xml:space="preserve"> corrections scale each earlier segment onto the level of the most-recent segment, via the candidate-to-reference ratio over each segment. Gaps were filled from a seasonal (monthly-climatology) neighbour reference, denormalized to the station’s homogenized level, and only </w:t>
      </w:r>
      <w:r>
        <w:rPr>
          <w:b/>
          <w:bCs/>
        </w:rPr>
        <w:t xml:space="preserve">within each station’s observed span</w:t>
      </w:r>
      <w:r>
        <w:t xml:space="preserve"> — never extrapolation. Two products result: an NA-preserving series and an infilled series.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2.5 Independent confirmation — RHtests style</w:t>
      </w:r>
    </w:p>
    <w:p>
      <w:pPr>
        <w:spacing w:after="120" w:line="300"/>
      </w:pPr>
      <w:r>
        <w:t xml:space="preserve">On the 164 stations with ≥30 data-years, two penalized maximal tests were run: </w:t>
      </w:r>
      <w:r>
        <w:rPr>
          <w:b/>
          <w:bCs/>
        </w:rPr>
        <w:t xml:space="preserve">PMF</w:t>
      </w:r>
      <w:r>
        <w:t xml:space="preserve"> (penalized maximal F, two-phase regression with a common trend, no reference) on annual totals, and </w:t>
      </w:r>
      <w:r>
        <w:rPr>
          <w:b/>
          <w:bCs/>
        </w:rPr>
        <w:t xml:space="preserve">PMT</w:t>
      </w:r>
      <w:r>
        <w:t xml:space="preserve"> (penalized maximal t, on the candidate-minus-reference series). Both use Monte-Carlo critical values, supplying the end-point penalty and multiplicity correction directly.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2.6 Validation of the implementation</w:t>
      </w:r>
    </w:p>
    <w:p>
      <w:pPr>
        <w:spacing w:after="120" w:line="300"/>
      </w:pPr>
      <w:r>
        <w:t xml:space="preserve">Before running on real data, detection was validated on synthetic networks: 7 of 8 injected relative breaks recovered within ±3 years, a base-series step located exactly, and SNHT critical values reproducing the standard tables (n=20→7.0, n=40→7.9, n=60→9.1). On the real output, unadjusted stations are bit-identical to raw, no negatives are introduced, and extremes are preserved.</w:t>
      </w:r>
    </w:p>
    <w:p>
      <w:pPr>
        <w:pStyle w:val="Heading1"/>
        <w:pBdr>
          <w:bottom w:val="single" w:color="2F6F9F" w:sz="10" w:space="4"/>
        </w:pBdr>
        <w:spacing w:after="140" w:before="320"/>
      </w:pPr>
      <w:r>
        <w:rPr>
          <w:b/>
          <w:bCs/>
          <w:color w:val="2F6F9F"/>
        </w:rPr>
        <w:t xml:space="preserve">3. Results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3.1 Detection overview</w:t>
      </w:r>
    </w:p>
    <w:p>
      <w:pPr>
        <w:spacing w:after="120" w:line="300"/>
      </w:pPr>
      <w:r>
        <w:t xml:space="preserve">The Climatol method detected </w:t>
      </w:r>
      <w:r>
        <w:rPr>
          <w:b/>
          <w:bCs/>
        </w:rPr>
        <w:t xml:space="preserve">78 breaks across 70 stations</w:t>
      </w:r>
      <w:r>
        <w:t xml:space="preserve">. The median correction was </w:t>
      </w:r>
      <w:r>
        <w:rPr>
          <w:b/>
          <w:bCs/>
        </w:rPr>
        <w:t xml:space="preserve">0.89</w:t>
      </w:r>
      <w:r>
        <w:t xml:space="preserve"> (a typical ~11% reduction of inflated early segments; factors 0.69–1.91), and </w:t>
      </w:r>
      <w:r>
        <w:rPr>
          <w:b/>
          <w:bCs/>
        </w:rPr>
        <w:t xml:space="preserve">19,813</w:t>
      </w:r>
      <w:r>
        <w:t xml:space="preserve"> interior monthly gaps were filled within span.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3.2 Temporal structure — the post-war discontinuity</w:t>
      </w:r>
    </w:p>
    <w:p>
      <w:pPr>
        <w:spacing w:after="120" w:line="300"/>
      </w:pPr>
      <w:r>
        <w:rPr>
          <w:b/>
          <w:bCs/>
        </w:rPr>
        <w:t xml:space="preserve">41% of all detected breaks fall in 1946–1953</w:t>
      </w:r>
      <w:r>
        <w:t xml:space="preserve">, peaking in 1948–1950 — the archive’s dominant artificial signal, reflecting network disruption, relocation and re-establishment around the occupation and its aftermath. Any trend analysis spanning the war must account for it.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A"/>
          <w:sz w:val="18"/>
          <w:szCs w:val="18"/>
        </w:rPr>
        <w:t xml:space="preserve">Figure 1. Detected inhomogeneities by year. Bars = Climatol breaks; line = RHtests PMT breaks. Shaded: WWII gap (1942–46) and post-war window (1946–53).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3.3 Cross-method agreement and confidence</w:t>
      </w:r>
    </w:p>
    <w:p>
      <w:pPr>
        <w:spacing w:after="120" w:line="300"/>
      </w:pPr>
      <w:r>
        <w:t xml:space="preserve">Of the 49 Climatol breaks on long stations, </w:t>
      </w:r>
      <w:r>
        <w:rPr>
          <w:b/>
          <w:bCs/>
        </w:rPr>
        <w:t xml:space="preserve">17 (35%) were confirmed</w:t>
      </w:r>
      <w:r>
        <w:t xml:space="preserve"> by RHtests within ±2 years (16 by PMT, 6 by PMF). The modest rate is expected: PMF is an absolute test with weak power for artificial breaks in noisy tropical series, and PMT’s trend-aware penalty is stricter than SNHT, so RHtests endorses the larger breaks and leaves marginal ones as Climatol-only. Every break is graded: </w:t>
      </w:r>
      <w:r>
        <w:rPr>
          <w:b/>
          <w:bCs/>
        </w:rPr>
        <w:t xml:space="preserve">16 high</w:t>
      </w:r>
      <w:r>
        <w:t xml:space="preserve">, 1 medium-high, 32 medium, 29 low, plus 55 RHtests-only recorded for information.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A"/>
          <w:sz w:val="18"/>
          <w:szCs w:val="18"/>
        </w:rPr>
        <w:t xml:space="preserve">Figure 2. Active stations per year (WWII collapse shaded) and the confidence breakdown of Climatol breaks.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3.4 High-confidence breaks</w:t>
      </w:r>
    </w:p>
    <w:tbl>
      <w:tblPr>
        <w:tblW w:type="dxa" w:w="8600"/>
        <w:tblBorders>
          <w:top w:val="single" w:color="DCE2E8" w:sz="4"/>
          <w:left w:val="single" w:color="DCE2E8" w:sz="4"/>
          <w:bottom w:val="single" w:color="DCE2E8" w:sz="4"/>
          <w:right w:val="single" w:color="DCE2E8" w:sz="4"/>
          <w:insideH w:val="single" w:color="DCE2E8" w:sz="4"/>
          <w:insideV w:val="single" w:color="DCE2E8" w:sz="4"/>
        </w:tblBorders>
      </w:tblPr>
      <w:tblGrid>
        <w:gridCol w:w="3800"/>
        <w:gridCol w:w="2000"/>
        <w:gridCol w:w="1400"/>
        <w:gridCol w:w="1400"/>
      </w:tblGrid>
      <w:tr>
        <w:trPr>
          <w:tblHeader/>
        </w:trPr>
        <w:tc>
          <w:tcPr>
            <w:tcW w:type="dxa" w:w="38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Station</w:t>
            </w:r>
          </w:p>
        </w:tc>
        <w:tc>
          <w:tcPr>
            <w:tcW w:type="dxa" w:w="20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Region</w:t>
            </w:r>
          </w:p>
        </w:tc>
        <w:tc>
          <w:tcPr>
            <w:tcW w:type="dxa" w:w="14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Break year</w:t>
            </w:r>
          </w:p>
        </w:tc>
        <w:tc>
          <w:tcPr>
            <w:tcW w:type="dxa" w:w="14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Factor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Kuala Kubu Bahru Hospital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Selangor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1913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×0.83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Gedong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Perak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1917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×0.84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Teluk Anson District Hospital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Perak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1918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×0.84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Pertang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Negri_Sembilan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1929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×0.86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Ulu Gombak 15 3/4 Mile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Selangor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1931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×0.68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Kuantan Hospital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Pahang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1932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×0.85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Serendah Rubber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Selangor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1933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×0.81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Walbrook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Perak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1938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×0.86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Sungei Serdang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Selangor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1938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×1.02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Sussex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Perak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1948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×0.78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Bandar Bharu Hospital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Kedah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1949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×0.91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Sungei Serdang Estate</w:t>
            </w:r>
          </w:p>
        </w:tc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Selangor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1952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×0.74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3.5 Spatial pattern</w:t>
      </w:r>
    </w:p>
    <w:p>
      <w:pPr>
        <w:spacing w:after="120" w:line="300"/>
      </w:pPr>
      <w:r>
        <w:t xml:space="preserve">Breaks concentrate in the dense western-peninsula regions (Perak, Selangor, Johor, Pahang) — the only places with enough neighbours for a reliable relative test. The east coast, Borneo and islands contribute few breaks, not because they are homogeneous but because they are too sparse to test.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A"/>
          <w:sz w:val="18"/>
          <w:szCs w:val="18"/>
        </w:rPr>
        <w:t xml:space="preserve">Figure 3. Station network (≤1958); red = stations with a detected inhomogeneity.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3.6 Example corrections</w:t>
      </w:r>
    </w:p>
    <w:p>
      <w:pPr>
        <w:spacing w:after="120" w:line="300"/>
      </w:pPr>
      <w:r>
        <w:t xml:space="preserve">The six longest adjusted stations — all in Perak and Pahang — illustrate the mechanism. Each has a single break whose pre-break segment reads systematically high relative to neighbours and is scaled down; raw and homogenized lines coincide after the break and diverge before it. The 1918 break recurs at two Perak hospitals — a plausible shared administrative/network change worth checking against station history.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A"/>
          <w:sz w:val="18"/>
          <w:szCs w:val="18"/>
        </w:rPr>
        <w:t xml:space="preserve">Figure 4. Raw (grey) vs Climatol-homogenized (blue) annual totals for the six longest adjusted stations. Dashed = break; ×f = applied factor.</w:t>
      </w:r>
    </w:p>
    <w:p>
      <w:pPr>
        <w:pStyle w:val="Heading2"/>
        <w:spacing w:after="80" w:before="220"/>
      </w:pPr>
      <w:r>
        <w:rPr>
          <w:b/>
          <w:bCs/>
          <w:color w:val="C1662A"/>
        </w:rPr>
        <w:t xml:space="preserve">3.7 The mm → inches merge boundary</w:t>
      </w:r>
    </w:p>
    <w:p>
      <w:pPr>
        <w:spacing w:after="120" w:line="300"/>
      </w:pPr>
      <w:r>
        <w:t xml:space="preserve">The Sumatra/Borneo records were transcribed in millimetres and converted to inches on ingestion, making their provenance a candidate offset. Pre-1958, only a handful of island stations are long and well-connected enough to test, and just 3 island-sourced breaks were found — too few to assess statistically. Spot-check the conversion manually rather than relying on it here.</w:t>
      </w:r>
    </w:p>
    <w:p>
      <w:pPr>
        <w:pStyle w:val="Heading1"/>
        <w:pBdr>
          <w:bottom w:val="single" w:color="2F6F9F" w:sz="10" w:space="4"/>
        </w:pBdr>
        <w:spacing w:after="140" w:before="320"/>
      </w:pPr>
      <w:r>
        <w:rPr>
          <w:b/>
          <w:bCs/>
          <w:color w:val="2F6F9F"/>
        </w:rPr>
        <w:t xml:space="preserve">4. Deliverables</w:t>
      </w:r>
    </w:p>
    <w:tbl>
      <w:tblPr>
        <w:tblW w:type="dxa" w:w="8600"/>
        <w:tblBorders>
          <w:top w:val="single" w:color="DCE2E8" w:sz="4"/>
          <w:left w:val="single" w:color="DCE2E8" w:sz="4"/>
          <w:bottom w:val="single" w:color="DCE2E8" w:sz="4"/>
          <w:right w:val="single" w:color="DCE2E8" w:sz="4"/>
          <w:insideH w:val="single" w:color="DCE2E8" w:sz="4"/>
          <w:insideV w:val="single" w:color="DCE2E8" w:sz="4"/>
        </w:tblBorders>
      </w:tblPr>
      <w:tblGrid>
        <w:gridCol w:w="4200"/>
        <w:gridCol w:w="4400"/>
      </w:tblGrid>
      <w:tr>
        <w:trPr>
          <w:tblHeader/>
        </w:trPr>
        <w:tc>
          <w:tcPr>
            <w:tcW w:type="dxa" w:w="42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4400"/>
            <w:shd w:fill="F4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malaysia_rainfall_homogenized_NApreserved.csv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Homogenized monthly series, gaps kept as NA (14,200 station-years)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malaysia_rainfall_homogenized_infilled.csv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Homogenized and gap-filled within span (15,684 station-years; +1,484)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break_inventory.csv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Every break: station, year, method(s), confidence, factor, coordinates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breaks_climatol.csv / breaks_rhtests.csv / factors_climatol.csv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Raw per-method outputs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figures/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Breaks-by-year, timeline+confidence, station map, example corrections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R/run_climatol.R / run_rhtests.R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Reproduce with the genuine packages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scripts/*.py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Python pipeline (prep → homoglib → climatol_run → rhtests_run → finalize → plots)</w:t>
            </w:r>
          </w:p>
        </w:tc>
      </w:tr>
    </w:tbl>
    <w:p>
      <w:pPr>
        <w:spacing w:after="120" w:line="300"/>
      </w:pPr>
      <w:r>
        <w:t xml:space="preserve">Both homogenized CSVs keep the original wide schema (station, metadata, 12 months, recomputed annual_computed) plus adjusted and n_breaks flags.</w:t>
      </w:r>
    </w:p>
    <w:p>
      <w:pPr>
        <w:pStyle w:val="Heading1"/>
        <w:pBdr>
          <w:bottom w:val="single" w:color="2F6F9F" w:sz="10" w:space="4"/>
        </w:pBdr>
        <w:spacing w:after="140" w:before="320"/>
      </w:pPr>
      <w:r>
        <w:rPr>
          <w:b/>
          <w:bCs/>
          <w:color w:val="2F6F9F"/>
        </w:rPr>
        <w:t xml:space="preserve">5. Caveats and recommendations</w:t>
      </w:r>
    </w:p>
    <w:p>
      <w:pPr>
        <w:spacing w:after="120" w:line="300"/>
      </w:pPr>
      <w:r>
        <w:t xml:space="preserve">Detection is more reliable than correction here: correlations are low, series short and staggered, all breaks undocumented. Corrections were applied for every Climatol break (the primary method); for a conservative product, restrict adjustments to confidence ∈ {high, medium-high} using the inventory. Low-confidence breaks rest on few neighbours and are tentative. The infilled product is spatial interpolation within a station’s active period, not observed data — use the NA-preserving copy where that distinction matters. The post-war cluster and the recurring 1918 Perak break are the two features most worth checking against surviving station histories.</w:t>
      </w:r>
    </w:p>
    <w:p>
      <w:pPr>
        <w:pStyle w:val="Heading1"/>
        <w:pBdr>
          <w:bottom w:val="single" w:color="2F6F9F" w:sz="10" w:space="4"/>
        </w:pBdr>
        <w:spacing w:after="140" w:before="320"/>
      </w:pPr>
      <w:r>
        <w:rPr>
          <w:b/>
          <w:bCs/>
          <w:color w:val="2F6F9F"/>
        </w:rPr>
        <w:t xml:space="preserve">6. References</w:t>
      </w:r>
    </w:p>
    <w:p>
      <w:pPr>
        <w:spacing w:after="60"/>
      </w:pPr>
      <w:r>
        <w:rPr>
          <w:color w:val="33414E"/>
          <w:sz w:val="18"/>
          <w:szCs w:val="18"/>
        </w:rPr>
        <w:t xml:space="preserve">Alexandersson, H. (1986). A homogeneity test applied to precipitation data. J. Climatol. 6, 661–675.</w:t>
      </w:r>
    </w:p>
    <w:p>
      <w:pPr>
        <w:spacing w:after="60"/>
      </w:pPr>
      <w:r>
        <w:rPr>
          <w:color w:val="33414E"/>
          <w:sz w:val="18"/>
          <w:szCs w:val="18"/>
        </w:rPr>
        <w:t xml:space="preserve">Alexandersson, H. &amp; Moberg, A. (1997). Homogenization of Swedish temperature data, Part I. Int. J. Climatol. 17, 25–34.</w:t>
      </w:r>
    </w:p>
    <w:p>
      <w:pPr>
        <w:spacing w:after="60"/>
      </w:pPr>
      <w:r>
        <w:rPr>
          <w:color w:val="33414E"/>
          <w:sz w:val="18"/>
          <w:szCs w:val="18"/>
        </w:rPr>
        <w:t xml:space="preserve">Guijarro, J.A. (2018). Homogenization of climatic series with Climatol. AEMET.</w:t>
      </w:r>
    </w:p>
    <w:p>
      <w:pPr>
        <w:spacing w:after="60"/>
      </w:pPr>
      <w:r>
        <w:rPr>
          <w:color w:val="33414E"/>
          <w:sz w:val="18"/>
          <w:szCs w:val="18"/>
        </w:rPr>
        <w:t xml:space="preserve">Wang, X.L., Wen, Q.H. &amp; Wu, Y. (2007). Penalized maximal t test. J. Appl. Meteorol. Climatol. 46, 916–931.</w:t>
      </w:r>
    </w:p>
    <w:p>
      <w:pPr>
        <w:spacing w:after="60"/>
      </w:pPr>
      <w:r>
        <w:rPr>
          <w:color w:val="33414E"/>
          <w:sz w:val="18"/>
          <w:szCs w:val="18"/>
        </w:rPr>
        <w:t xml:space="preserve">Wang, X.L. (2008). Penalized maximal F test. J. Atmos. Ocean. Technol. 25, 368–384.</w:t>
      </w:r>
    </w:p>
    <w:p>
      <w:pPr>
        <w:spacing w:after="60"/>
      </w:pPr>
      <w:r>
        <w:rPr>
          <w:color w:val="33414E"/>
          <w:sz w:val="18"/>
          <w:szCs w:val="18"/>
        </w:rPr>
        <w:t xml:space="preserve">Venema, V. et al. (2012). Benchmarking homogenization algorithms. Clim. Past 8, 89–115.</w:t>
      </w:r>
    </w:p>
    <w:p>
      <w:pPr>
        <w:spacing w:after="60"/>
      </w:pPr>
      <w:r>
        <w:rPr>
          <w:color w:val="33414E"/>
          <w:sz w:val="18"/>
          <w:szCs w:val="18"/>
        </w:rPr>
        <w:t xml:space="preserve">Wijngaard, J.B., Klein Tank, A.M.G. &amp; Können, G.P. (2003). Homogeneity of European daily series. Int. J. Climatol. 23, 679–692.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59fc17fb0d1db0e0e7c6f1815d0cd7f458c2e8.png"/><Relationship Id="rId8" Type="http://schemas.openxmlformats.org/officeDocument/2006/relationships/image" Target="media/6687bf099ba41f5126107a3869efd61b1779ce5a.png"/><Relationship Id="rId9" Type="http://schemas.openxmlformats.org/officeDocument/2006/relationships/image" Target="media/d00229985c302584332ed783e423093b4a5be32e.png"/><Relationship Id="rId10" Type="http://schemas.openxmlformats.org/officeDocument/2006/relationships/image" Target="media/f1936ca479c2cd1fa0d93eb2807613d26ee98b4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2026-08-27T07:05:13.890Z</dcterms:created>
  <dcterms:modified xsi:type="dcterms:W3CDTF">2026-08-27T07:05:13.904Z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