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PFOR delta payload layout: PatchedDelta or DBPDelta?</w:t>
      </w:r>
    </w:p>
    <w:p>
      <w:pPr>
        <w:pStyle w:val="Heading1"/>
      </w:pPr>
      <w:r>
        <w:t>Result</w:t>
      </w:r>
    </w:p>
    <w:p>
      <w:r>
        <w:t>When PFOR selects delta mode for a 1,024-value vector, it can store differences with PFOR's frame, one bit width, and exceptions (</w:t>
      </w:r>
      <w:r>
        <w:rPr>
          <w:rFonts w:ascii="Courier New" w:hAnsi="Courier New"/>
          <w:b w:val="0"/>
          <w:i w:val="0"/>
          <w:sz w:val="16"/>
        </w:rPr>
        <w:t>PFOR-PatchedDelta</w:t>
      </w:r>
      <w:r>
        <w:t>), or put an independent Parquet DELTA_BINARY_PACKED stream in that vector (</w:t>
      </w:r>
      <w:r>
        <w:rPr>
          <w:rFonts w:ascii="Courier New" w:hAnsi="Courier New"/>
          <w:b w:val="0"/>
          <w:i w:val="0"/>
          <w:sz w:val="16"/>
        </w:rPr>
        <w:t>PFOR-DBPDelta</w:t>
      </w:r>
      <w:r>
        <w:t xml:space="preserve">). PatchedDelta is smaller and remains faster to decompress, but optimizing the existing DBP decoder closes much of the decode gap: from 2.62x to </w:t>
      </w:r>
      <w:r>
        <w:rPr>
          <w:b/>
          <w:i w:val="0"/>
        </w:rPr>
        <w:t>1.65x</w:t>
      </w:r>
      <w:r>
        <w:t xml:space="preserve"> on delta-beneficial datasets and from 2.95x to </w:t>
      </w:r>
      <w:r>
        <w:rPr>
          <w:b/>
          <w:i w:val="0"/>
        </w:rPr>
        <w:t>1.61x</w:t>
      </w:r>
      <w:r>
        <w:t xml:space="preserve"> on non-beneficial datasets. Thus the original gap was partly an implementation gap and partly a layout gap.</w:t>
      </w:r>
    </w:p>
    <w:p>
      <w:pPr>
        <w:pStyle w:val="Heading1"/>
      </w:pPr>
      <w:r>
        <w:t>Method</w:t>
      </w:r>
    </w:p>
    <w:p>
      <w:r>
        <w:t xml:space="preserve">Both layouts restart at the same 1,024-value PFOR vector boundaries and include the same outer page header and four-byte vector offsets. Delta mode is forced. A forced-raw PFOR run classifies a case as </w:t>
      </w:r>
      <w:r>
        <w:rPr>
          <w:b w:val="0"/>
          <w:i/>
        </w:rPr>
        <w:t>delta-beneficial</w:t>
      </w:r>
      <w:r>
        <w:t xml:space="preserve"> when PatchedDelta is smaller than raw PFOR. Baseline DBP is Arrow's decoder before the two optimization commits. Optimized DBP coalesces adjacent equal-width miniblocks into one unpack call (</w:t>
      </w:r>
      <w:r>
        <w:rPr>
          <w:rFonts w:ascii="Courier New" w:hAnsi="Courier New"/>
          <w:b w:val="0"/>
          <w:i w:val="0"/>
          <w:sz w:val="16"/>
        </w:rPr>
        <w:t>c3b6f870d6</w:t>
      </w:r>
      <w:r>
        <w:t>) and reconstructs deltas with a SIMD register prefix scan (</w:t>
      </w:r>
      <w:r>
        <w:rPr>
          <w:rFonts w:ascii="Courier New" w:hAnsi="Courier New"/>
          <w:b w:val="0"/>
          <w:i w:val="0"/>
          <w:sz w:val="16"/>
        </w:rPr>
        <w:t>9dc8d52b17</w:t>
      </w:r>
      <w:r>
        <w:t>). These are decode-only changes, so baseline and optimized DBP have identical bytes and encode throughput.</w:t>
      </w:r>
    </w:p>
    <w:p>
      <w:r>
        <w:t xml:space="preserve">The corpus has 54 generated cases (39 INT32, 15 INT64), including ClickBench, TPC-DS, TPC-H, taxi, timestamp, counter, random-walk, sawtooth, sentinel, and bimodal shapes; each has 102,400 values. Results are geometric means of five repetitions from a Release build compiled with </w:t>
      </w:r>
      <w:r>
        <w:rPr>
          <w:rFonts w:ascii="Courier New" w:hAnsi="Courier New"/>
          <w:b w:val="0"/>
          <w:i w:val="0"/>
          <w:sz w:val="16"/>
        </w:rPr>
        <w:t>-O3 -DNDEBUG</w:t>
      </w:r>
      <w:r>
        <w:t>. Ratios are uncompressed/encoded bytes; throughput is uncompressed GB/s.</w:t>
      </w:r>
    </w:p>
    <w:p>
      <w:pPr>
        <w:pStyle w:val="Heading1"/>
      </w:pPr>
      <w:r>
        <w:t>Delta-beneficial datasets</w:t>
      </w:r>
    </w:p>
    <w:tbl>
      <w:tblPr>
        <w:tblStyle w:val="TableGrid"/>
        <w:tblW w:type="auto" w:w="0"/>
        <w:tblLook w:firstColumn="1" w:firstRow="1" w:lastColumn="0" w:lastRow="0" w:noHBand="0" w:noVBand="1" w:val="04A0"/>
      </w:tblPr>
      <w:tblGrid>
        <w:gridCol w:w="2400"/>
        <w:gridCol w:w="2400"/>
        <w:gridCol w:w="2400"/>
        <w:gridCol w:w="2400"/>
        <w:gridCol w:w="2400"/>
        <w:gridCol w:w="2400"/>
      </w:tblGrid>
      <w:tr>
        <w:tc>
          <w:tcPr>
            <w:tcW w:type="dxa" w:w="2400"/>
            <w:shd w:fill="DBE5F1"/>
          </w:tcPr>
          <w:p>
            <w:r>
              <w:rPr>
                <w:rFonts w:ascii="Arial" w:hAnsi="Arial"/>
                <w:b/>
                <w:sz w:val="14"/>
              </w:rPr>
            </w:r>
            <w:r>
              <w:rPr>
                <w:rFonts w:ascii="Arial" w:hAnsi="Arial"/>
                <w:b/>
                <w:sz w:val="14"/>
              </w:rPr>
              <w:t>Compression</w:t>
            </w:r>
          </w:p>
        </w:tc>
        <w:tc>
          <w:tcPr>
            <w:tcW w:type="dxa" w:w="2400"/>
            <w:shd w:fill="DBE5F1"/>
          </w:tcPr>
          <w:p>
            <w:r>
              <w:rPr>
                <w:rFonts w:ascii="Arial" w:hAnsi="Arial"/>
                <w:b/>
                <w:sz w:val="14"/>
              </w:rPr>
            </w:r>
            <w:r>
              <w:rPr>
                <w:rFonts w:ascii="Arial" w:hAnsi="Arial"/>
                <w:b/>
                <w:sz w:val="14"/>
              </w:rPr>
              <w:t>Cases</w:t>
            </w:r>
          </w:p>
        </w:tc>
        <w:tc>
          <w:tcPr>
            <w:tcW w:type="dxa" w:w="2400"/>
            <w:shd w:fill="DBE5F1"/>
          </w:tcPr>
          <w:p>
            <w:r>
              <w:rPr>
                <w:rFonts w:ascii="Arial" w:hAnsi="Arial"/>
                <w:b/>
                <w:sz w:val="14"/>
              </w:rPr>
            </w:r>
            <w:r>
              <w:rPr>
                <w:rFonts w:ascii="Arial" w:hAnsi="Arial"/>
                <w:b/>
                <w:sz w:val="14"/>
              </w:rPr>
              <w:t>PatchedDelta ratio</w:t>
            </w:r>
          </w:p>
        </w:tc>
        <w:tc>
          <w:tcPr>
            <w:tcW w:type="dxa" w:w="2400"/>
            <w:shd w:fill="DBE5F1"/>
          </w:tcPr>
          <w:p>
            <w:r>
              <w:rPr>
                <w:rFonts w:ascii="Arial" w:hAnsi="Arial"/>
                <w:b/>
                <w:sz w:val="14"/>
              </w:rPr>
            </w:r>
            <w:r>
              <w:rPr>
                <w:rFonts w:ascii="Arial" w:hAnsi="Arial"/>
                <w:b/>
                <w:sz w:val="14"/>
              </w:rPr>
              <w:t>Baseline DBP ratio</w:t>
            </w:r>
          </w:p>
        </w:tc>
        <w:tc>
          <w:tcPr>
            <w:tcW w:type="dxa" w:w="2400"/>
            <w:shd w:fill="DBE5F1"/>
          </w:tcPr>
          <w:p>
            <w:r>
              <w:rPr>
                <w:rFonts w:ascii="Arial" w:hAnsi="Arial"/>
                <w:b/>
                <w:sz w:val="14"/>
              </w:rPr>
            </w:r>
            <w:r>
              <w:rPr>
                <w:rFonts w:ascii="Arial" w:hAnsi="Arial"/>
                <w:b/>
                <w:sz w:val="14"/>
              </w:rPr>
              <w:t>Optimized DBP ratio</w:t>
            </w:r>
          </w:p>
        </w:tc>
        <w:tc>
          <w:tcPr>
            <w:tcW w:type="dxa" w:w="2400"/>
            <w:shd w:fill="DBE5F1"/>
          </w:tcPr>
          <w:p>
            <w:r>
              <w:rPr>
                <w:rFonts w:ascii="Arial" w:hAnsi="Arial"/>
                <w:b/>
                <w:sz w:val="14"/>
              </w:rPr>
            </w:r>
            <w:r>
              <w:rPr>
                <w:rFonts w:ascii="Arial" w:hAnsi="Arial"/>
                <w:b/>
                <w:sz w:val="14"/>
              </w:rPr>
              <w:t>Patched size vs DBP</w:t>
            </w:r>
          </w:p>
        </w:tc>
      </w:tr>
      <w:tr>
        <w:tc>
          <w:tcPr>
            <w:tcW w:type="dxa" w:w="2400"/>
          </w:tcPr>
          <w:p>
            <w:r>
              <w:rPr>
                <w:rFonts w:ascii="Arial" w:hAnsi="Arial"/>
                <w:b w:val="0"/>
                <w:sz w:val="14"/>
              </w:rPr>
            </w:r>
            <w:r>
              <w:rPr>
                <w:rFonts w:ascii="Arial" w:hAnsi="Arial"/>
                <w:b w:val="0"/>
                <w:sz w:val="14"/>
              </w:rPr>
              <w:t>INT32</w:t>
            </w:r>
          </w:p>
        </w:tc>
        <w:tc>
          <w:tcPr>
            <w:tcW w:type="dxa" w:w="2400"/>
          </w:tcPr>
          <w:p>
            <w:r>
              <w:rPr>
                <w:rFonts w:ascii="Arial" w:hAnsi="Arial"/>
                <w:b w:val="0"/>
                <w:sz w:val="14"/>
              </w:rPr>
            </w:r>
            <w:r>
              <w:rPr>
                <w:rFonts w:ascii="Arial" w:hAnsi="Arial"/>
                <w:b w:val="0"/>
                <w:sz w:val="14"/>
              </w:rPr>
              <w:t>9</w:t>
            </w:r>
          </w:p>
        </w:tc>
        <w:tc>
          <w:tcPr>
            <w:tcW w:type="dxa" w:w="2400"/>
          </w:tcPr>
          <w:p>
            <w:r>
              <w:rPr>
                <w:rFonts w:ascii="Arial" w:hAnsi="Arial"/>
                <w:b w:val="0"/>
                <w:sz w:val="14"/>
              </w:rPr>
            </w:r>
            <w:r>
              <w:rPr>
                <w:rFonts w:ascii="Arial" w:hAnsi="Arial"/>
                <w:b w:val="0"/>
                <w:sz w:val="14"/>
              </w:rPr>
              <w:t>8.150</w:t>
            </w:r>
          </w:p>
        </w:tc>
        <w:tc>
          <w:tcPr>
            <w:tcW w:type="dxa" w:w="2400"/>
          </w:tcPr>
          <w:p>
            <w:r>
              <w:rPr>
                <w:rFonts w:ascii="Arial" w:hAnsi="Arial"/>
                <w:b w:val="0"/>
                <w:sz w:val="14"/>
              </w:rPr>
            </w:r>
            <w:r>
              <w:rPr>
                <w:rFonts w:ascii="Arial" w:hAnsi="Arial"/>
                <w:b w:val="0"/>
                <w:sz w:val="14"/>
              </w:rPr>
              <w:t>5.303</w:t>
            </w:r>
          </w:p>
        </w:tc>
        <w:tc>
          <w:tcPr>
            <w:tcW w:type="dxa" w:w="2400"/>
          </w:tcPr>
          <w:p>
            <w:r>
              <w:rPr>
                <w:rFonts w:ascii="Arial" w:hAnsi="Arial"/>
                <w:b w:val="0"/>
                <w:sz w:val="14"/>
              </w:rPr>
            </w:r>
            <w:r>
              <w:rPr>
                <w:rFonts w:ascii="Arial" w:hAnsi="Arial"/>
                <w:b w:val="0"/>
                <w:sz w:val="14"/>
              </w:rPr>
              <w:t>5.303</w:t>
            </w:r>
          </w:p>
        </w:tc>
        <w:tc>
          <w:tcPr>
            <w:tcW w:type="dxa" w:w="2400"/>
          </w:tcPr>
          <w:p>
            <w:r>
              <w:rPr>
                <w:rFonts w:ascii="Arial" w:hAnsi="Arial"/>
                <w:b w:val="0"/>
                <w:sz w:val="14"/>
              </w:rPr>
            </w:r>
            <w:r>
              <w:rPr>
                <w:rFonts w:ascii="Arial" w:hAnsi="Arial"/>
                <w:b w:val="0"/>
                <w:sz w:val="14"/>
              </w:rPr>
              <w:t>65.1%</w:t>
            </w:r>
          </w:p>
        </w:tc>
      </w:tr>
      <w:tr>
        <w:tc>
          <w:tcPr>
            <w:tcW w:type="dxa" w:w="2400"/>
          </w:tcPr>
          <w:p>
            <w:r>
              <w:rPr>
                <w:rFonts w:ascii="Arial" w:hAnsi="Arial"/>
                <w:b w:val="0"/>
                <w:sz w:val="14"/>
              </w:rPr>
            </w:r>
            <w:r>
              <w:rPr>
                <w:rFonts w:ascii="Arial" w:hAnsi="Arial"/>
                <w:b w:val="0"/>
                <w:sz w:val="14"/>
              </w:rPr>
              <w:t>INT64</w:t>
            </w:r>
          </w:p>
        </w:tc>
        <w:tc>
          <w:tcPr>
            <w:tcW w:type="dxa" w:w="2400"/>
          </w:tcPr>
          <w:p>
            <w:r>
              <w:rPr>
                <w:rFonts w:ascii="Arial" w:hAnsi="Arial"/>
                <w:b w:val="0"/>
                <w:sz w:val="14"/>
              </w:rPr>
            </w:r>
            <w:r>
              <w:rPr>
                <w:rFonts w:ascii="Arial" w:hAnsi="Arial"/>
                <w:b w:val="0"/>
                <w:sz w:val="14"/>
              </w:rPr>
              <w:t>9</w:t>
            </w:r>
          </w:p>
        </w:tc>
        <w:tc>
          <w:tcPr>
            <w:tcW w:type="dxa" w:w="2400"/>
          </w:tcPr>
          <w:p>
            <w:r>
              <w:rPr>
                <w:rFonts w:ascii="Arial" w:hAnsi="Arial"/>
                <w:b w:val="0"/>
                <w:sz w:val="14"/>
              </w:rPr>
            </w:r>
            <w:r>
              <w:rPr>
                <w:rFonts w:ascii="Arial" w:hAnsi="Arial"/>
                <w:b w:val="0"/>
                <w:sz w:val="14"/>
              </w:rPr>
              <w:t>12.447</w:t>
            </w:r>
          </w:p>
        </w:tc>
        <w:tc>
          <w:tcPr>
            <w:tcW w:type="dxa" w:w="2400"/>
          </w:tcPr>
          <w:p>
            <w:r>
              <w:rPr>
                <w:rFonts w:ascii="Arial" w:hAnsi="Arial"/>
                <w:b w:val="0"/>
                <w:sz w:val="14"/>
              </w:rPr>
            </w:r>
            <w:r>
              <w:rPr>
                <w:rFonts w:ascii="Arial" w:hAnsi="Arial"/>
                <w:b w:val="0"/>
                <w:sz w:val="14"/>
              </w:rPr>
              <w:t>8.055</w:t>
            </w:r>
          </w:p>
        </w:tc>
        <w:tc>
          <w:tcPr>
            <w:tcW w:type="dxa" w:w="2400"/>
          </w:tcPr>
          <w:p>
            <w:r>
              <w:rPr>
                <w:rFonts w:ascii="Arial" w:hAnsi="Arial"/>
                <w:b w:val="0"/>
                <w:sz w:val="14"/>
              </w:rPr>
            </w:r>
            <w:r>
              <w:rPr>
                <w:rFonts w:ascii="Arial" w:hAnsi="Arial"/>
                <w:b w:val="0"/>
                <w:sz w:val="14"/>
              </w:rPr>
              <w:t>8.055</w:t>
            </w:r>
          </w:p>
        </w:tc>
        <w:tc>
          <w:tcPr>
            <w:tcW w:type="dxa" w:w="2400"/>
          </w:tcPr>
          <w:p>
            <w:r>
              <w:rPr>
                <w:rFonts w:ascii="Arial" w:hAnsi="Arial"/>
                <w:b w:val="0"/>
                <w:sz w:val="14"/>
              </w:rPr>
            </w:r>
            <w:r>
              <w:rPr>
                <w:rFonts w:ascii="Arial" w:hAnsi="Arial"/>
                <w:b w:val="0"/>
                <w:sz w:val="14"/>
              </w:rPr>
              <w:t>64.7%</w:t>
            </w:r>
          </w:p>
        </w:tc>
      </w:tr>
      <w:tr>
        <w:tc>
          <w:tcPr>
            <w:tcW w:type="dxa" w:w="2400"/>
          </w:tcPr>
          <w:p>
            <w:r>
              <w:rPr>
                <w:rFonts w:ascii="Arial" w:hAnsi="Arial"/>
                <w:b w:val="0"/>
                <w:sz w:val="14"/>
              </w:rPr>
            </w:r>
            <w:r>
              <w:rPr>
                <w:rFonts w:ascii="Arial" w:hAnsi="Arial"/>
                <w:b w:val="0"/>
                <w:sz w:val="14"/>
              </w:rPr>
              <w:t>Combined</w:t>
            </w:r>
          </w:p>
        </w:tc>
        <w:tc>
          <w:tcPr>
            <w:tcW w:type="dxa" w:w="2400"/>
          </w:tcPr>
          <w:p>
            <w:r>
              <w:rPr>
                <w:rFonts w:ascii="Arial" w:hAnsi="Arial"/>
                <w:b w:val="0"/>
                <w:sz w:val="14"/>
              </w:rPr>
            </w:r>
            <w:r>
              <w:rPr>
                <w:rFonts w:ascii="Arial" w:hAnsi="Arial"/>
                <w:b w:val="0"/>
                <w:sz w:val="14"/>
              </w:rPr>
              <w:t>18</w:t>
            </w:r>
          </w:p>
        </w:tc>
        <w:tc>
          <w:tcPr>
            <w:tcW w:type="dxa" w:w="2400"/>
          </w:tcPr>
          <w:p>
            <w:r>
              <w:rPr>
                <w:rFonts w:ascii="Arial" w:hAnsi="Arial"/>
                <w:b w:val="0"/>
                <w:sz w:val="14"/>
              </w:rPr>
            </w:r>
            <w:r>
              <w:rPr>
                <w:rFonts w:ascii="Arial" w:hAnsi="Arial"/>
                <w:b w:val="0"/>
                <w:sz w:val="14"/>
              </w:rPr>
              <w:t>10.072</w:t>
            </w:r>
          </w:p>
        </w:tc>
        <w:tc>
          <w:tcPr>
            <w:tcW w:type="dxa" w:w="2400"/>
          </w:tcPr>
          <w:p>
            <w:r>
              <w:rPr>
                <w:rFonts w:ascii="Arial" w:hAnsi="Arial"/>
                <w:b w:val="0"/>
                <w:sz w:val="14"/>
              </w:rPr>
            </w:r>
            <w:r>
              <w:rPr>
                <w:rFonts w:ascii="Arial" w:hAnsi="Arial"/>
                <w:b w:val="0"/>
                <w:sz w:val="14"/>
              </w:rPr>
              <w:t>6.536</w:t>
            </w:r>
          </w:p>
        </w:tc>
        <w:tc>
          <w:tcPr>
            <w:tcW w:type="dxa" w:w="2400"/>
          </w:tcPr>
          <w:p>
            <w:r>
              <w:rPr>
                <w:rFonts w:ascii="Arial" w:hAnsi="Arial"/>
                <w:b w:val="0"/>
                <w:sz w:val="14"/>
              </w:rPr>
            </w:r>
            <w:r>
              <w:rPr>
                <w:rFonts w:ascii="Arial" w:hAnsi="Arial"/>
                <w:b w:val="0"/>
                <w:sz w:val="14"/>
              </w:rPr>
              <w:t>6.536</w:t>
            </w:r>
          </w:p>
        </w:tc>
        <w:tc>
          <w:tcPr>
            <w:tcW w:type="dxa" w:w="2400"/>
          </w:tcPr>
          <w:p>
            <w:r>
              <w:rPr>
                <w:rFonts w:ascii="Arial" w:hAnsi="Arial"/>
                <w:b w:val="0"/>
                <w:sz w:val="14"/>
              </w:rPr>
            </w:r>
            <w:r>
              <w:rPr>
                <w:rFonts w:ascii="Arial" w:hAnsi="Arial"/>
                <w:b w:val="0"/>
                <w:sz w:val="14"/>
              </w:rPr>
            </w:r>
            <w:r>
              <w:rPr>
                <w:rFonts w:ascii="Arial" w:hAnsi="Arial"/>
                <w:b/>
                <w:i w:val="0"/>
                <w:sz w:val="14"/>
              </w:rPr>
              <w:t>64.9%</w:t>
            </w:r>
            <w:r>
              <w:rPr>
                <w:rFonts w:ascii="Arial" w:hAnsi="Arial"/>
                <w:b w:val="0"/>
                <w:sz w:val="14"/>
              </w:rPr>
            </w:r>
          </w:p>
        </w:tc>
      </w:tr>
    </w:tbl>
    <w:tbl>
      <w:tblPr>
        <w:tblStyle w:val="TableGrid"/>
        <w:tblW w:type="auto" w:w="0"/>
        <w:tblLook w:firstColumn="1" w:firstRow="1" w:lastColumn="0" w:lastRow="0" w:noHBand="0" w:noVBand="1" w:val="04A0"/>
      </w:tblPr>
      <w:tblGrid>
        <w:gridCol w:w="2057"/>
        <w:gridCol w:w="2057"/>
        <w:gridCol w:w="2057"/>
        <w:gridCol w:w="2057"/>
        <w:gridCol w:w="2057"/>
        <w:gridCol w:w="2057"/>
        <w:gridCol w:w="2057"/>
      </w:tblGrid>
      <w:tr>
        <w:tc>
          <w:tcPr>
            <w:tcW w:type="dxa" w:w="2057"/>
            <w:shd w:fill="DBE5F1"/>
          </w:tcPr>
          <w:p>
            <w:r>
              <w:rPr>
                <w:rFonts w:ascii="Arial" w:hAnsi="Arial"/>
                <w:b/>
                <w:sz w:val="14"/>
              </w:rPr>
            </w:r>
            <w:r>
              <w:rPr>
                <w:rFonts w:ascii="Arial" w:hAnsi="Arial"/>
                <w:b/>
                <w:sz w:val="14"/>
              </w:rPr>
              <w:t>Decompression</w:t>
            </w:r>
          </w:p>
        </w:tc>
        <w:tc>
          <w:tcPr>
            <w:tcW w:type="dxa" w:w="2057"/>
            <w:shd w:fill="DBE5F1"/>
          </w:tcPr>
          <w:p>
            <w:r>
              <w:rPr>
                <w:rFonts w:ascii="Arial" w:hAnsi="Arial"/>
                <w:b/>
                <w:sz w:val="14"/>
              </w:rPr>
            </w:r>
            <w:r>
              <w:rPr>
                <w:rFonts w:ascii="Arial" w:hAnsi="Arial"/>
                <w:b/>
                <w:sz w:val="14"/>
              </w:rPr>
              <w:t>Cases</w:t>
            </w:r>
          </w:p>
        </w:tc>
        <w:tc>
          <w:tcPr>
            <w:tcW w:type="dxa" w:w="2057"/>
            <w:shd w:fill="DBE5F1"/>
          </w:tcPr>
          <w:p>
            <w:r>
              <w:rPr>
                <w:rFonts w:ascii="Arial" w:hAnsi="Arial"/>
                <w:b/>
                <w:sz w:val="14"/>
              </w:rPr>
            </w:r>
            <w:r>
              <w:rPr>
                <w:rFonts w:ascii="Arial" w:hAnsi="Arial"/>
                <w:b/>
                <w:sz w:val="14"/>
              </w:rPr>
              <w:t>PatchedDelta GB/s</w:t>
            </w:r>
          </w:p>
        </w:tc>
        <w:tc>
          <w:tcPr>
            <w:tcW w:type="dxa" w:w="2057"/>
            <w:shd w:fill="DBE5F1"/>
          </w:tcPr>
          <w:p>
            <w:r>
              <w:rPr>
                <w:rFonts w:ascii="Arial" w:hAnsi="Arial"/>
                <w:b/>
                <w:sz w:val="14"/>
              </w:rPr>
            </w:r>
            <w:r>
              <w:rPr>
                <w:rFonts w:ascii="Arial" w:hAnsi="Arial"/>
                <w:b/>
                <w:sz w:val="14"/>
              </w:rPr>
              <w:t>Baseline DBP GB/s</w:t>
            </w:r>
          </w:p>
        </w:tc>
        <w:tc>
          <w:tcPr>
            <w:tcW w:type="dxa" w:w="2057"/>
            <w:shd w:fill="DBE5F1"/>
          </w:tcPr>
          <w:p>
            <w:r>
              <w:rPr>
                <w:rFonts w:ascii="Arial" w:hAnsi="Arial"/>
                <w:b/>
                <w:sz w:val="14"/>
              </w:rPr>
            </w:r>
            <w:r>
              <w:rPr>
                <w:rFonts w:ascii="Arial" w:hAnsi="Arial"/>
                <w:b/>
                <w:sz w:val="14"/>
              </w:rPr>
              <w:t>Optimized DBP GB/s</w:t>
            </w:r>
          </w:p>
        </w:tc>
        <w:tc>
          <w:tcPr>
            <w:tcW w:type="dxa" w:w="2057"/>
            <w:shd w:fill="DBE5F1"/>
          </w:tcPr>
          <w:p>
            <w:r>
              <w:rPr>
                <w:rFonts w:ascii="Arial" w:hAnsi="Arial"/>
                <w:b/>
                <w:sz w:val="14"/>
              </w:rPr>
            </w:r>
            <w:r>
              <w:rPr>
                <w:rFonts w:ascii="Arial" w:hAnsi="Arial"/>
                <w:b/>
                <w:sz w:val="14"/>
              </w:rPr>
              <w:t>Patched vs baseline</w:t>
            </w:r>
          </w:p>
        </w:tc>
        <w:tc>
          <w:tcPr>
            <w:tcW w:type="dxa" w:w="2057"/>
            <w:shd w:fill="DBE5F1"/>
          </w:tcPr>
          <w:p>
            <w:r>
              <w:rPr>
                <w:rFonts w:ascii="Arial" w:hAnsi="Arial"/>
                <w:b/>
                <w:sz w:val="14"/>
              </w:rPr>
            </w:r>
            <w:r>
              <w:rPr>
                <w:rFonts w:ascii="Arial" w:hAnsi="Arial"/>
                <w:b/>
                <w:sz w:val="14"/>
              </w:rPr>
              <w:t>Patched vs optimized</w:t>
            </w:r>
          </w:p>
        </w:tc>
      </w:tr>
      <w:tr>
        <w:tc>
          <w:tcPr>
            <w:tcW w:type="dxa" w:w="2057"/>
          </w:tcPr>
          <w:p>
            <w:r>
              <w:rPr>
                <w:rFonts w:ascii="Arial" w:hAnsi="Arial"/>
                <w:b w:val="0"/>
                <w:sz w:val="14"/>
              </w:rPr>
            </w:r>
            <w:r>
              <w:rPr>
                <w:rFonts w:ascii="Arial" w:hAnsi="Arial"/>
                <w:b w:val="0"/>
                <w:sz w:val="14"/>
              </w:rPr>
              <w:t>INT32</w:t>
            </w:r>
          </w:p>
        </w:tc>
        <w:tc>
          <w:tcPr>
            <w:tcW w:type="dxa" w:w="2057"/>
          </w:tcPr>
          <w:p>
            <w:r>
              <w:rPr>
                <w:rFonts w:ascii="Arial" w:hAnsi="Arial"/>
                <w:b w:val="0"/>
                <w:sz w:val="14"/>
              </w:rPr>
            </w:r>
            <w:r>
              <w:rPr>
                <w:rFonts w:ascii="Arial" w:hAnsi="Arial"/>
                <w:b w:val="0"/>
                <w:sz w:val="14"/>
              </w:rPr>
              <w:t>9</w:t>
            </w:r>
          </w:p>
        </w:tc>
        <w:tc>
          <w:tcPr>
            <w:tcW w:type="dxa" w:w="2057"/>
          </w:tcPr>
          <w:p>
            <w:r>
              <w:rPr>
                <w:rFonts w:ascii="Arial" w:hAnsi="Arial"/>
                <w:b w:val="0"/>
                <w:sz w:val="14"/>
              </w:rPr>
            </w:r>
            <w:r>
              <w:rPr>
                <w:rFonts w:ascii="Arial" w:hAnsi="Arial"/>
                <w:b w:val="0"/>
                <w:sz w:val="14"/>
              </w:rPr>
              <w:t>7.481</w:t>
            </w:r>
          </w:p>
        </w:tc>
        <w:tc>
          <w:tcPr>
            <w:tcW w:type="dxa" w:w="2057"/>
          </w:tcPr>
          <w:p>
            <w:r>
              <w:rPr>
                <w:rFonts w:ascii="Arial" w:hAnsi="Arial"/>
                <w:b w:val="0"/>
                <w:sz w:val="14"/>
              </w:rPr>
            </w:r>
            <w:r>
              <w:rPr>
                <w:rFonts w:ascii="Arial" w:hAnsi="Arial"/>
                <w:b w:val="0"/>
                <w:sz w:val="14"/>
              </w:rPr>
              <w:t>2.338</w:t>
            </w:r>
          </w:p>
        </w:tc>
        <w:tc>
          <w:tcPr>
            <w:tcW w:type="dxa" w:w="2057"/>
          </w:tcPr>
          <w:p>
            <w:r>
              <w:rPr>
                <w:rFonts w:ascii="Arial" w:hAnsi="Arial"/>
                <w:b w:val="0"/>
                <w:sz w:val="14"/>
              </w:rPr>
            </w:r>
            <w:r>
              <w:rPr>
                <w:rFonts w:ascii="Arial" w:hAnsi="Arial"/>
                <w:b w:val="0"/>
                <w:sz w:val="14"/>
              </w:rPr>
              <w:t>4.338</w:t>
            </w:r>
          </w:p>
        </w:tc>
        <w:tc>
          <w:tcPr>
            <w:tcW w:type="dxa" w:w="2057"/>
          </w:tcPr>
          <w:p>
            <w:r>
              <w:rPr>
                <w:rFonts w:ascii="Arial" w:hAnsi="Arial"/>
                <w:b w:val="0"/>
                <w:sz w:val="14"/>
              </w:rPr>
            </w:r>
            <w:r>
              <w:rPr>
                <w:rFonts w:ascii="Arial" w:hAnsi="Arial"/>
                <w:b w:val="0"/>
                <w:sz w:val="14"/>
              </w:rPr>
              <w:t>3.20x</w:t>
            </w:r>
          </w:p>
        </w:tc>
        <w:tc>
          <w:tcPr>
            <w:tcW w:type="dxa" w:w="2057"/>
          </w:tcPr>
          <w:p>
            <w:r>
              <w:rPr>
                <w:rFonts w:ascii="Arial" w:hAnsi="Arial"/>
                <w:b w:val="0"/>
                <w:sz w:val="14"/>
              </w:rPr>
            </w:r>
            <w:r>
              <w:rPr>
                <w:rFonts w:ascii="Arial" w:hAnsi="Arial"/>
                <w:b w:val="0"/>
                <w:sz w:val="14"/>
              </w:rPr>
            </w:r>
            <w:r>
              <w:rPr>
                <w:rFonts w:ascii="Arial" w:hAnsi="Arial"/>
                <w:b/>
                <w:i w:val="0"/>
                <w:sz w:val="14"/>
              </w:rPr>
              <w:t>1.72x</w:t>
            </w:r>
            <w:r>
              <w:rPr>
                <w:rFonts w:ascii="Arial" w:hAnsi="Arial"/>
                <w:b w:val="0"/>
                <w:sz w:val="14"/>
              </w:rPr>
            </w:r>
          </w:p>
        </w:tc>
      </w:tr>
      <w:tr>
        <w:tc>
          <w:tcPr>
            <w:tcW w:type="dxa" w:w="2057"/>
          </w:tcPr>
          <w:p>
            <w:r>
              <w:rPr>
                <w:rFonts w:ascii="Arial" w:hAnsi="Arial"/>
                <w:b w:val="0"/>
                <w:sz w:val="14"/>
              </w:rPr>
            </w:r>
            <w:r>
              <w:rPr>
                <w:rFonts w:ascii="Arial" w:hAnsi="Arial"/>
                <w:b w:val="0"/>
                <w:sz w:val="14"/>
              </w:rPr>
              <w:t>INT64</w:t>
            </w:r>
          </w:p>
        </w:tc>
        <w:tc>
          <w:tcPr>
            <w:tcW w:type="dxa" w:w="2057"/>
          </w:tcPr>
          <w:p>
            <w:r>
              <w:rPr>
                <w:rFonts w:ascii="Arial" w:hAnsi="Arial"/>
                <w:b w:val="0"/>
                <w:sz w:val="14"/>
              </w:rPr>
            </w:r>
            <w:r>
              <w:rPr>
                <w:rFonts w:ascii="Arial" w:hAnsi="Arial"/>
                <w:b w:val="0"/>
                <w:sz w:val="14"/>
              </w:rPr>
              <w:t>9</w:t>
            </w:r>
          </w:p>
        </w:tc>
        <w:tc>
          <w:tcPr>
            <w:tcW w:type="dxa" w:w="2057"/>
          </w:tcPr>
          <w:p>
            <w:r>
              <w:rPr>
                <w:rFonts w:ascii="Arial" w:hAnsi="Arial"/>
                <w:b w:val="0"/>
                <w:sz w:val="14"/>
              </w:rPr>
            </w:r>
            <w:r>
              <w:rPr>
                <w:rFonts w:ascii="Arial" w:hAnsi="Arial"/>
                <w:b w:val="0"/>
                <w:sz w:val="14"/>
              </w:rPr>
              <w:t>12.976</w:t>
            </w:r>
          </w:p>
        </w:tc>
        <w:tc>
          <w:tcPr>
            <w:tcW w:type="dxa" w:w="2057"/>
          </w:tcPr>
          <w:p>
            <w:r>
              <w:rPr>
                <w:rFonts w:ascii="Arial" w:hAnsi="Arial"/>
                <w:b w:val="0"/>
                <w:sz w:val="14"/>
              </w:rPr>
            </w:r>
            <w:r>
              <w:rPr>
                <w:rFonts w:ascii="Arial" w:hAnsi="Arial"/>
                <w:b w:val="0"/>
                <w:sz w:val="14"/>
              </w:rPr>
              <w:t>6.055</w:t>
            </w:r>
          </w:p>
        </w:tc>
        <w:tc>
          <w:tcPr>
            <w:tcW w:type="dxa" w:w="2057"/>
          </w:tcPr>
          <w:p>
            <w:r>
              <w:rPr>
                <w:rFonts w:ascii="Arial" w:hAnsi="Arial"/>
                <w:b w:val="0"/>
                <w:sz w:val="14"/>
              </w:rPr>
            </w:r>
            <w:r>
              <w:rPr>
                <w:rFonts w:ascii="Arial" w:hAnsi="Arial"/>
                <w:b w:val="0"/>
                <w:sz w:val="14"/>
              </w:rPr>
              <w:t>8.198</w:t>
            </w:r>
          </w:p>
        </w:tc>
        <w:tc>
          <w:tcPr>
            <w:tcW w:type="dxa" w:w="2057"/>
          </w:tcPr>
          <w:p>
            <w:r>
              <w:rPr>
                <w:rFonts w:ascii="Arial" w:hAnsi="Arial"/>
                <w:b w:val="0"/>
                <w:sz w:val="14"/>
              </w:rPr>
            </w:r>
            <w:r>
              <w:rPr>
                <w:rFonts w:ascii="Arial" w:hAnsi="Arial"/>
                <w:b w:val="0"/>
                <w:sz w:val="14"/>
              </w:rPr>
              <w:t>2.14x</w:t>
            </w:r>
          </w:p>
        </w:tc>
        <w:tc>
          <w:tcPr>
            <w:tcW w:type="dxa" w:w="2057"/>
          </w:tcPr>
          <w:p>
            <w:r>
              <w:rPr>
                <w:rFonts w:ascii="Arial" w:hAnsi="Arial"/>
                <w:b w:val="0"/>
                <w:sz w:val="14"/>
              </w:rPr>
            </w:r>
            <w:r>
              <w:rPr>
                <w:rFonts w:ascii="Arial" w:hAnsi="Arial"/>
                <w:b w:val="0"/>
                <w:sz w:val="14"/>
              </w:rPr>
            </w:r>
            <w:r>
              <w:rPr>
                <w:rFonts w:ascii="Arial" w:hAnsi="Arial"/>
                <w:b/>
                <w:i w:val="0"/>
                <w:sz w:val="14"/>
              </w:rPr>
              <w:t>1.58x</w:t>
            </w:r>
            <w:r>
              <w:rPr>
                <w:rFonts w:ascii="Arial" w:hAnsi="Arial"/>
                <w:b w:val="0"/>
                <w:sz w:val="14"/>
              </w:rPr>
            </w:r>
          </w:p>
        </w:tc>
      </w:tr>
      <w:tr>
        <w:tc>
          <w:tcPr>
            <w:tcW w:type="dxa" w:w="2057"/>
          </w:tcPr>
          <w:p>
            <w:r>
              <w:rPr>
                <w:rFonts w:ascii="Arial" w:hAnsi="Arial"/>
                <w:b w:val="0"/>
                <w:sz w:val="14"/>
              </w:rPr>
            </w:r>
            <w:r>
              <w:rPr>
                <w:rFonts w:ascii="Arial" w:hAnsi="Arial"/>
                <w:b w:val="0"/>
                <w:sz w:val="14"/>
              </w:rPr>
              <w:t>Combined</w:t>
            </w:r>
          </w:p>
        </w:tc>
        <w:tc>
          <w:tcPr>
            <w:tcW w:type="dxa" w:w="2057"/>
          </w:tcPr>
          <w:p>
            <w:r>
              <w:rPr>
                <w:rFonts w:ascii="Arial" w:hAnsi="Arial"/>
                <w:b w:val="0"/>
                <w:sz w:val="14"/>
              </w:rPr>
            </w:r>
            <w:r>
              <w:rPr>
                <w:rFonts w:ascii="Arial" w:hAnsi="Arial"/>
                <w:b w:val="0"/>
                <w:sz w:val="14"/>
              </w:rPr>
              <w:t>18</w:t>
            </w:r>
          </w:p>
        </w:tc>
        <w:tc>
          <w:tcPr>
            <w:tcW w:type="dxa" w:w="2057"/>
          </w:tcPr>
          <w:p>
            <w:r>
              <w:rPr>
                <w:rFonts w:ascii="Arial" w:hAnsi="Arial"/>
                <w:b w:val="0"/>
                <w:sz w:val="14"/>
              </w:rPr>
            </w:r>
            <w:r>
              <w:rPr>
                <w:rFonts w:ascii="Arial" w:hAnsi="Arial"/>
                <w:b w:val="0"/>
                <w:sz w:val="14"/>
              </w:rPr>
              <w:t>9.852</w:t>
            </w:r>
          </w:p>
        </w:tc>
        <w:tc>
          <w:tcPr>
            <w:tcW w:type="dxa" w:w="2057"/>
          </w:tcPr>
          <w:p>
            <w:r>
              <w:rPr>
                <w:rFonts w:ascii="Arial" w:hAnsi="Arial"/>
                <w:b w:val="0"/>
                <w:sz w:val="14"/>
              </w:rPr>
            </w:r>
            <w:r>
              <w:rPr>
                <w:rFonts w:ascii="Arial" w:hAnsi="Arial"/>
                <w:b w:val="0"/>
                <w:sz w:val="14"/>
              </w:rPr>
              <w:t>3.763</w:t>
            </w:r>
          </w:p>
        </w:tc>
        <w:tc>
          <w:tcPr>
            <w:tcW w:type="dxa" w:w="2057"/>
          </w:tcPr>
          <w:p>
            <w:r>
              <w:rPr>
                <w:rFonts w:ascii="Arial" w:hAnsi="Arial"/>
                <w:b w:val="0"/>
                <w:sz w:val="14"/>
              </w:rPr>
            </w:r>
            <w:r>
              <w:rPr>
                <w:rFonts w:ascii="Arial" w:hAnsi="Arial"/>
                <w:b w:val="0"/>
                <w:sz w:val="14"/>
              </w:rPr>
              <w:t>5.964</w:t>
            </w:r>
          </w:p>
        </w:tc>
        <w:tc>
          <w:tcPr>
            <w:tcW w:type="dxa" w:w="2057"/>
          </w:tcPr>
          <w:p>
            <w:r>
              <w:rPr>
                <w:rFonts w:ascii="Arial" w:hAnsi="Arial"/>
                <w:b w:val="0"/>
                <w:sz w:val="14"/>
              </w:rPr>
            </w:r>
            <w:r>
              <w:rPr>
                <w:rFonts w:ascii="Arial" w:hAnsi="Arial"/>
                <w:b w:val="0"/>
                <w:sz w:val="14"/>
              </w:rPr>
              <w:t>2.62x</w:t>
            </w:r>
          </w:p>
        </w:tc>
        <w:tc>
          <w:tcPr>
            <w:tcW w:type="dxa" w:w="2057"/>
          </w:tcPr>
          <w:p>
            <w:r>
              <w:rPr>
                <w:rFonts w:ascii="Arial" w:hAnsi="Arial"/>
                <w:b w:val="0"/>
                <w:sz w:val="14"/>
              </w:rPr>
            </w:r>
            <w:r>
              <w:rPr>
                <w:rFonts w:ascii="Arial" w:hAnsi="Arial"/>
                <w:b w:val="0"/>
                <w:sz w:val="14"/>
              </w:rPr>
            </w:r>
            <w:r>
              <w:rPr>
                <w:rFonts w:ascii="Arial" w:hAnsi="Arial"/>
                <w:b/>
                <w:i w:val="0"/>
                <w:sz w:val="14"/>
              </w:rPr>
              <w:t>1.65x</w:t>
            </w:r>
            <w:r>
              <w:rPr>
                <w:rFonts w:ascii="Arial" w:hAnsi="Arial"/>
                <w:b w:val="0"/>
                <w:sz w:val="14"/>
              </w:rPr>
            </w:r>
          </w:p>
        </w:tc>
      </w:tr>
    </w:tbl>
    <w:p>
      <w:pPr>
        <w:pStyle w:val="Heading1"/>
      </w:pPr>
      <w:r>
        <w:t>Datasets that do not benefit from delta mode</w:t>
      </w:r>
    </w:p>
    <w:tbl>
      <w:tblPr>
        <w:tblStyle w:val="TableGrid"/>
        <w:tblW w:type="auto" w:w="0"/>
        <w:tblLook w:firstColumn="1" w:firstRow="1" w:lastColumn="0" w:lastRow="0" w:noHBand="0" w:noVBand="1" w:val="04A0"/>
      </w:tblPr>
      <w:tblGrid>
        <w:gridCol w:w="2400"/>
        <w:gridCol w:w="2400"/>
        <w:gridCol w:w="2400"/>
        <w:gridCol w:w="2400"/>
        <w:gridCol w:w="2400"/>
        <w:gridCol w:w="2400"/>
      </w:tblGrid>
      <w:tr>
        <w:tc>
          <w:tcPr>
            <w:tcW w:type="dxa" w:w="2400"/>
            <w:shd w:fill="DBE5F1"/>
          </w:tcPr>
          <w:p>
            <w:r>
              <w:rPr>
                <w:rFonts w:ascii="Arial" w:hAnsi="Arial"/>
                <w:b/>
                <w:sz w:val="14"/>
              </w:rPr>
            </w:r>
            <w:r>
              <w:rPr>
                <w:rFonts w:ascii="Arial" w:hAnsi="Arial"/>
                <w:b/>
                <w:sz w:val="14"/>
              </w:rPr>
              <w:t>Compression</w:t>
            </w:r>
          </w:p>
        </w:tc>
        <w:tc>
          <w:tcPr>
            <w:tcW w:type="dxa" w:w="2400"/>
            <w:shd w:fill="DBE5F1"/>
          </w:tcPr>
          <w:p>
            <w:r>
              <w:rPr>
                <w:rFonts w:ascii="Arial" w:hAnsi="Arial"/>
                <w:b/>
                <w:sz w:val="14"/>
              </w:rPr>
            </w:r>
            <w:r>
              <w:rPr>
                <w:rFonts w:ascii="Arial" w:hAnsi="Arial"/>
                <w:b/>
                <w:sz w:val="14"/>
              </w:rPr>
              <w:t>Cases</w:t>
            </w:r>
          </w:p>
        </w:tc>
        <w:tc>
          <w:tcPr>
            <w:tcW w:type="dxa" w:w="2400"/>
            <w:shd w:fill="DBE5F1"/>
          </w:tcPr>
          <w:p>
            <w:r>
              <w:rPr>
                <w:rFonts w:ascii="Arial" w:hAnsi="Arial"/>
                <w:b/>
                <w:sz w:val="14"/>
              </w:rPr>
            </w:r>
            <w:r>
              <w:rPr>
                <w:rFonts w:ascii="Arial" w:hAnsi="Arial"/>
                <w:b/>
                <w:sz w:val="14"/>
              </w:rPr>
              <w:t>PatchedDelta ratio</w:t>
            </w:r>
          </w:p>
        </w:tc>
        <w:tc>
          <w:tcPr>
            <w:tcW w:type="dxa" w:w="2400"/>
            <w:shd w:fill="DBE5F1"/>
          </w:tcPr>
          <w:p>
            <w:r>
              <w:rPr>
                <w:rFonts w:ascii="Arial" w:hAnsi="Arial"/>
                <w:b/>
                <w:sz w:val="14"/>
              </w:rPr>
            </w:r>
            <w:r>
              <w:rPr>
                <w:rFonts w:ascii="Arial" w:hAnsi="Arial"/>
                <w:b/>
                <w:sz w:val="14"/>
              </w:rPr>
              <w:t>Baseline DBP ratio</w:t>
            </w:r>
          </w:p>
        </w:tc>
        <w:tc>
          <w:tcPr>
            <w:tcW w:type="dxa" w:w="2400"/>
            <w:shd w:fill="DBE5F1"/>
          </w:tcPr>
          <w:p>
            <w:r>
              <w:rPr>
                <w:rFonts w:ascii="Arial" w:hAnsi="Arial"/>
                <w:b/>
                <w:sz w:val="14"/>
              </w:rPr>
            </w:r>
            <w:r>
              <w:rPr>
                <w:rFonts w:ascii="Arial" w:hAnsi="Arial"/>
                <w:b/>
                <w:sz w:val="14"/>
              </w:rPr>
              <w:t>Optimized DBP ratio</w:t>
            </w:r>
          </w:p>
        </w:tc>
        <w:tc>
          <w:tcPr>
            <w:tcW w:type="dxa" w:w="2400"/>
            <w:shd w:fill="DBE5F1"/>
          </w:tcPr>
          <w:p>
            <w:r>
              <w:rPr>
                <w:rFonts w:ascii="Arial" w:hAnsi="Arial"/>
                <w:b/>
                <w:sz w:val="14"/>
              </w:rPr>
            </w:r>
            <w:r>
              <w:rPr>
                <w:rFonts w:ascii="Arial" w:hAnsi="Arial"/>
                <w:b/>
                <w:sz w:val="14"/>
              </w:rPr>
              <w:t>Patched size vs DBP</w:t>
            </w:r>
          </w:p>
        </w:tc>
      </w:tr>
      <w:tr>
        <w:tc>
          <w:tcPr>
            <w:tcW w:type="dxa" w:w="2400"/>
          </w:tcPr>
          <w:p>
            <w:r>
              <w:rPr>
                <w:rFonts w:ascii="Arial" w:hAnsi="Arial"/>
                <w:b w:val="0"/>
                <w:sz w:val="14"/>
              </w:rPr>
            </w:r>
            <w:r>
              <w:rPr>
                <w:rFonts w:ascii="Arial" w:hAnsi="Arial"/>
                <w:b w:val="0"/>
                <w:sz w:val="14"/>
              </w:rPr>
              <w:t>INT32</w:t>
            </w:r>
          </w:p>
        </w:tc>
        <w:tc>
          <w:tcPr>
            <w:tcW w:type="dxa" w:w="2400"/>
          </w:tcPr>
          <w:p>
            <w:r>
              <w:rPr>
                <w:rFonts w:ascii="Arial" w:hAnsi="Arial"/>
                <w:b w:val="0"/>
                <w:sz w:val="14"/>
              </w:rPr>
            </w:r>
            <w:r>
              <w:rPr>
                <w:rFonts w:ascii="Arial" w:hAnsi="Arial"/>
                <w:b w:val="0"/>
                <w:sz w:val="14"/>
              </w:rPr>
              <w:t>30</w:t>
            </w:r>
          </w:p>
        </w:tc>
        <w:tc>
          <w:tcPr>
            <w:tcW w:type="dxa" w:w="2400"/>
          </w:tcPr>
          <w:p>
            <w:r>
              <w:rPr>
                <w:rFonts w:ascii="Arial" w:hAnsi="Arial"/>
                <w:b w:val="0"/>
                <w:sz w:val="14"/>
              </w:rPr>
            </w:r>
            <w:r>
              <w:rPr>
                <w:rFonts w:ascii="Arial" w:hAnsi="Arial"/>
                <w:b w:val="0"/>
                <w:sz w:val="14"/>
              </w:rPr>
              <w:t>2.999</w:t>
            </w:r>
          </w:p>
        </w:tc>
        <w:tc>
          <w:tcPr>
            <w:tcW w:type="dxa" w:w="2400"/>
          </w:tcPr>
          <w:p>
            <w:r>
              <w:rPr>
                <w:rFonts w:ascii="Arial" w:hAnsi="Arial"/>
                <w:b w:val="0"/>
                <w:sz w:val="14"/>
              </w:rPr>
            </w:r>
            <w:r>
              <w:rPr>
                <w:rFonts w:ascii="Arial" w:hAnsi="Arial"/>
                <w:b w:val="0"/>
                <w:sz w:val="14"/>
              </w:rPr>
              <w:t>2.927</w:t>
            </w:r>
          </w:p>
        </w:tc>
        <w:tc>
          <w:tcPr>
            <w:tcW w:type="dxa" w:w="2400"/>
          </w:tcPr>
          <w:p>
            <w:r>
              <w:rPr>
                <w:rFonts w:ascii="Arial" w:hAnsi="Arial"/>
                <w:b w:val="0"/>
                <w:sz w:val="14"/>
              </w:rPr>
            </w:r>
            <w:r>
              <w:rPr>
                <w:rFonts w:ascii="Arial" w:hAnsi="Arial"/>
                <w:b w:val="0"/>
                <w:sz w:val="14"/>
              </w:rPr>
              <w:t>2.927</w:t>
            </w:r>
          </w:p>
        </w:tc>
        <w:tc>
          <w:tcPr>
            <w:tcW w:type="dxa" w:w="2400"/>
          </w:tcPr>
          <w:p>
            <w:r>
              <w:rPr>
                <w:rFonts w:ascii="Arial" w:hAnsi="Arial"/>
                <w:b w:val="0"/>
                <w:sz w:val="14"/>
              </w:rPr>
            </w:r>
            <w:r>
              <w:rPr>
                <w:rFonts w:ascii="Arial" w:hAnsi="Arial"/>
                <w:b w:val="0"/>
                <w:sz w:val="14"/>
              </w:rPr>
              <w:t>97.6%</w:t>
            </w:r>
          </w:p>
        </w:tc>
      </w:tr>
      <w:tr>
        <w:tc>
          <w:tcPr>
            <w:tcW w:type="dxa" w:w="2400"/>
          </w:tcPr>
          <w:p>
            <w:r>
              <w:rPr>
                <w:rFonts w:ascii="Arial" w:hAnsi="Arial"/>
                <w:b w:val="0"/>
                <w:sz w:val="14"/>
              </w:rPr>
            </w:r>
            <w:r>
              <w:rPr>
                <w:rFonts w:ascii="Arial" w:hAnsi="Arial"/>
                <w:b w:val="0"/>
                <w:sz w:val="14"/>
              </w:rPr>
              <w:t>INT64</w:t>
            </w:r>
          </w:p>
        </w:tc>
        <w:tc>
          <w:tcPr>
            <w:tcW w:type="dxa" w:w="2400"/>
          </w:tcPr>
          <w:p>
            <w:r>
              <w:rPr>
                <w:rFonts w:ascii="Arial" w:hAnsi="Arial"/>
                <w:b w:val="0"/>
                <w:sz w:val="14"/>
              </w:rPr>
            </w:r>
            <w:r>
              <w:rPr>
                <w:rFonts w:ascii="Arial" w:hAnsi="Arial"/>
                <w:b w:val="0"/>
                <w:sz w:val="14"/>
              </w:rPr>
              <w:t>6</w:t>
            </w:r>
          </w:p>
        </w:tc>
        <w:tc>
          <w:tcPr>
            <w:tcW w:type="dxa" w:w="2400"/>
          </w:tcPr>
          <w:p>
            <w:r>
              <w:rPr>
                <w:rFonts w:ascii="Arial" w:hAnsi="Arial"/>
                <w:b w:val="0"/>
                <w:sz w:val="14"/>
              </w:rPr>
            </w:r>
            <w:r>
              <w:rPr>
                <w:rFonts w:ascii="Arial" w:hAnsi="Arial"/>
                <w:b w:val="0"/>
                <w:sz w:val="14"/>
              </w:rPr>
              <w:t>2.113</w:t>
            </w:r>
          </w:p>
        </w:tc>
        <w:tc>
          <w:tcPr>
            <w:tcW w:type="dxa" w:w="2400"/>
          </w:tcPr>
          <w:p>
            <w:r>
              <w:rPr>
                <w:rFonts w:ascii="Arial" w:hAnsi="Arial"/>
                <w:b w:val="0"/>
                <w:sz w:val="14"/>
              </w:rPr>
            </w:r>
            <w:r>
              <w:rPr>
                <w:rFonts w:ascii="Arial" w:hAnsi="Arial"/>
                <w:b w:val="0"/>
                <w:sz w:val="14"/>
              </w:rPr>
              <w:t>2.107</w:t>
            </w:r>
          </w:p>
        </w:tc>
        <w:tc>
          <w:tcPr>
            <w:tcW w:type="dxa" w:w="2400"/>
          </w:tcPr>
          <w:p>
            <w:r>
              <w:rPr>
                <w:rFonts w:ascii="Arial" w:hAnsi="Arial"/>
                <w:b w:val="0"/>
                <w:sz w:val="14"/>
              </w:rPr>
            </w:r>
            <w:r>
              <w:rPr>
                <w:rFonts w:ascii="Arial" w:hAnsi="Arial"/>
                <w:b w:val="0"/>
                <w:sz w:val="14"/>
              </w:rPr>
              <w:t>2.107</w:t>
            </w:r>
          </w:p>
        </w:tc>
        <w:tc>
          <w:tcPr>
            <w:tcW w:type="dxa" w:w="2400"/>
          </w:tcPr>
          <w:p>
            <w:r>
              <w:rPr>
                <w:rFonts w:ascii="Arial" w:hAnsi="Arial"/>
                <w:b w:val="0"/>
                <w:sz w:val="14"/>
              </w:rPr>
            </w:r>
            <w:r>
              <w:rPr>
                <w:rFonts w:ascii="Arial" w:hAnsi="Arial"/>
                <w:b w:val="0"/>
                <w:sz w:val="14"/>
              </w:rPr>
              <w:t>99.7%</w:t>
            </w:r>
          </w:p>
        </w:tc>
      </w:tr>
      <w:tr>
        <w:tc>
          <w:tcPr>
            <w:tcW w:type="dxa" w:w="2400"/>
          </w:tcPr>
          <w:p>
            <w:r>
              <w:rPr>
                <w:rFonts w:ascii="Arial" w:hAnsi="Arial"/>
                <w:b w:val="0"/>
                <w:sz w:val="14"/>
              </w:rPr>
            </w:r>
            <w:r>
              <w:rPr>
                <w:rFonts w:ascii="Arial" w:hAnsi="Arial"/>
                <w:b w:val="0"/>
                <w:sz w:val="14"/>
              </w:rPr>
              <w:t>Combined</w:t>
            </w:r>
          </w:p>
        </w:tc>
        <w:tc>
          <w:tcPr>
            <w:tcW w:type="dxa" w:w="2400"/>
          </w:tcPr>
          <w:p>
            <w:r>
              <w:rPr>
                <w:rFonts w:ascii="Arial" w:hAnsi="Arial"/>
                <w:b w:val="0"/>
                <w:sz w:val="14"/>
              </w:rPr>
            </w:r>
            <w:r>
              <w:rPr>
                <w:rFonts w:ascii="Arial" w:hAnsi="Arial"/>
                <w:b w:val="0"/>
                <w:sz w:val="14"/>
              </w:rPr>
              <w:t>36</w:t>
            </w:r>
          </w:p>
        </w:tc>
        <w:tc>
          <w:tcPr>
            <w:tcW w:type="dxa" w:w="2400"/>
          </w:tcPr>
          <w:p>
            <w:r>
              <w:rPr>
                <w:rFonts w:ascii="Arial" w:hAnsi="Arial"/>
                <w:b w:val="0"/>
                <w:sz w:val="14"/>
              </w:rPr>
            </w:r>
            <w:r>
              <w:rPr>
                <w:rFonts w:ascii="Arial" w:hAnsi="Arial"/>
                <w:b w:val="0"/>
                <w:sz w:val="14"/>
              </w:rPr>
              <w:t>2.829</w:t>
            </w:r>
          </w:p>
        </w:tc>
        <w:tc>
          <w:tcPr>
            <w:tcW w:type="dxa" w:w="2400"/>
          </w:tcPr>
          <w:p>
            <w:r>
              <w:rPr>
                <w:rFonts w:ascii="Arial" w:hAnsi="Arial"/>
                <w:b w:val="0"/>
                <w:sz w:val="14"/>
              </w:rPr>
            </w:r>
            <w:r>
              <w:rPr>
                <w:rFonts w:ascii="Arial" w:hAnsi="Arial"/>
                <w:b w:val="0"/>
                <w:sz w:val="14"/>
              </w:rPr>
              <w:t>2.771</w:t>
            </w:r>
          </w:p>
        </w:tc>
        <w:tc>
          <w:tcPr>
            <w:tcW w:type="dxa" w:w="2400"/>
          </w:tcPr>
          <w:p>
            <w:r>
              <w:rPr>
                <w:rFonts w:ascii="Arial" w:hAnsi="Arial"/>
                <w:b w:val="0"/>
                <w:sz w:val="14"/>
              </w:rPr>
            </w:r>
            <w:r>
              <w:rPr>
                <w:rFonts w:ascii="Arial" w:hAnsi="Arial"/>
                <w:b w:val="0"/>
                <w:sz w:val="14"/>
              </w:rPr>
              <w:t>2.771</w:t>
            </w:r>
          </w:p>
        </w:tc>
        <w:tc>
          <w:tcPr>
            <w:tcW w:type="dxa" w:w="2400"/>
          </w:tcPr>
          <w:p>
            <w:r>
              <w:rPr>
                <w:rFonts w:ascii="Arial" w:hAnsi="Arial"/>
                <w:b w:val="0"/>
                <w:sz w:val="14"/>
              </w:rPr>
            </w:r>
            <w:r>
              <w:rPr>
                <w:rFonts w:ascii="Arial" w:hAnsi="Arial"/>
                <w:b w:val="0"/>
                <w:sz w:val="14"/>
              </w:rPr>
            </w:r>
            <w:r>
              <w:rPr>
                <w:rFonts w:ascii="Arial" w:hAnsi="Arial"/>
                <w:b/>
                <w:i w:val="0"/>
                <w:sz w:val="14"/>
              </w:rPr>
              <w:t>97.9%</w:t>
            </w:r>
            <w:r>
              <w:rPr>
                <w:rFonts w:ascii="Arial" w:hAnsi="Arial"/>
                <w:b w:val="0"/>
                <w:sz w:val="14"/>
              </w:rPr>
            </w:r>
          </w:p>
        </w:tc>
      </w:tr>
    </w:tbl>
    <w:tbl>
      <w:tblPr>
        <w:tblStyle w:val="TableGrid"/>
        <w:tblW w:type="auto" w:w="0"/>
        <w:tblLook w:firstColumn="1" w:firstRow="1" w:lastColumn="0" w:lastRow="0" w:noHBand="0" w:noVBand="1" w:val="04A0"/>
      </w:tblPr>
      <w:tblGrid>
        <w:gridCol w:w="2057"/>
        <w:gridCol w:w="2057"/>
        <w:gridCol w:w="2057"/>
        <w:gridCol w:w="2057"/>
        <w:gridCol w:w="2057"/>
        <w:gridCol w:w="2057"/>
        <w:gridCol w:w="2057"/>
      </w:tblGrid>
      <w:tr>
        <w:tc>
          <w:tcPr>
            <w:tcW w:type="dxa" w:w="2057"/>
            <w:shd w:fill="DBE5F1"/>
          </w:tcPr>
          <w:p>
            <w:r>
              <w:rPr>
                <w:rFonts w:ascii="Arial" w:hAnsi="Arial"/>
                <w:b/>
                <w:sz w:val="14"/>
              </w:rPr>
            </w:r>
            <w:r>
              <w:rPr>
                <w:rFonts w:ascii="Arial" w:hAnsi="Arial"/>
                <w:b/>
                <w:sz w:val="14"/>
              </w:rPr>
              <w:t>Decompression</w:t>
            </w:r>
          </w:p>
        </w:tc>
        <w:tc>
          <w:tcPr>
            <w:tcW w:type="dxa" w:w="2057"/>
            <w:shd w:fill="DBE5F1"/>
          </w:tcPr>
          <w:p>
            <w:r>
              <w:rPr>
                <w:rFonts w:ascii="Arial" w:hAnsi="Arial"/>
                <w:b/>
                <w:sz w:val="14"/>
              </w:rPr>
            </w:r>
            <w:r>
              <w:rPr>
                <w:rFonts w:ascii="Arial" w:hAnsi="Arial"/>
                <w:b/>
                <w:sz w:val="14"/>
              </w:rPr>
              <w:t>Cases</w:t>
            </w:r>
          </w:p>
        </w:tc>
        <w:tc>
          <w:tcPr>
            <w:tcW w:type="dxa" w:w="2057"/>
            <w:shd w:fill="DBE5F1"/>
          </w:tcPr>
          <w:p>
            <w:r>
              <w:rPr>
                <w:rFonts w:ascii="Arial" w:hAnsi="Arial"/>
                <w:b/>
                <w:sz w:val="14"/>
              </w:rPr>
            </w:r>
            <w:r>
              <w:rPr>
                <w:rFonts w:ascii="Arial" w:hAnsi="Arial"/>
                <w:b/>
                <w:sz w:val="14"/>
              </w:rPr>
              <w:t>PatchedDelta GB/s</w:t>
            </w:r>
          </w:p>
        </w:tc>
        <w:tc>
          <w:tcPr>
            <w:tcW w:type="dxa" w:w="2057"/>
            <w:shd w:fill="DBE5F1"/>
          </w:tcPr>
          <w:p>
            <w:r>
              <w:rPr>
                <w:rFonts w:ascii="Arial" w:hAnsi="Arial"/>
                <w:b/>
                <w:sz w:val="14"/>
              </w:rPr>
            </w:r>
            <w:r>
              <w:rPr>
                <w:rFonts w:ascii="Arial" w:hAnsi="Arial"/>
                <w:b/>
                <w:sz w:val="14"/>
              </w:rPr>
              <w:t>Baseline DBP GB/s</w:t>
            </w:r>
          </w:p>
        </w:tc>
        <w:tc>
          <w:tcPr>
            <w:tcW w:type="dxa" w:w="2057"/>
            <w:shd w:fill="DBE5F1"/>
          </w:tcPr>
          <w:p>
            <w:r>
              <w:rPr>
                <w:rFonts w:ascii="Arial" w:hAnsi="Arial"/>
                <w:b/>
                <w:sz w:val="14"/>
              </w:rPr>
            </w:r>
            <w:r>
              <w:rPr>
                <w:rFonts w:ascii="Arial" w:hAnsi="Arial"/>
                <w:b/>
                <w:sz w:val="14"/>
              </w:rPr>
              <w:t>Optimized DBP GB/s</w:t>
            </w:r>
          </w:p>
        </w:tc>
        <w:tc>
          <w:tcPr>
            <w:tcW w:type="dxa" w:w="2057"/>
            <w:shd w:fill="DBE5F1"/>
          </w:tcPr>
          <w:p>
            <w:r>
              <w:rPr>
                <w:rFonts w:ascii="Arial" w:hAnsi="Arial"/>
                <w:b/>
                <w:sz w:val="14"/>
              </w:rPr>
            </w:r>
            <w:r>
              <w:rPr>
                <w:rFonts w:ascii="Arial" w:hAnsi="Arial"/>
                <w:b/>
                <w:sz w:val="14"/>
              </w:rPr>
              <w:t>Patched vs baseline</w:t>
            </w:r>
          </w:p>
        </w:tc>
        <w:tc>
          <w:tcPr>
            <w:tcW w:type="dxa" w:w="2057"/>
            <w:shd w:fill="DBE5F1"/>
          </w:tcPr>
          <w:p>
            <w:r>
              <w:rPr>
                <w:rFonts w:ascii="Arial" w:hAnsi="Arial"/>
                <w:b/>
                <w:sz w:val="14"/>
              </w:rPr>
            </w:r>
            <w:r>
              <w:rPr>
                <w:rFonts w:ascii="Arial" w:hAnsi="Arial"/>
                <w:b/>
                <w:sz w:val="14"/>
              </w:rPr>
              <w:t>Patched vs optimized</w:t>
            </w:r>
          </w:p>
        </w:tc>
      </w:tr>
      <w:tr>
        <w:tc>
          <w:tcPr>
            <w:tcW w:type="dxa" w:w="2057"/>
          </w:tcPr>
          <w:p>
            <w:r>
              <w:rPr>
                <w:rFonts w:ascii="Arial" w:hAnsi="Arial"/>
                <w:b w:val="0"/>
                <w:sz w:val="14"/>
              </w:rPr>
            </w:r>
            <w:r>
              <w:rPr>
                <w:rFonts w:ascii="Arial" w:hAnsi="Arial"/>
                <w:b w:val="0"/>
                <w:sz w:val="14"/>
              </w:rPr>
              <w:t>INT32</w:t>
            </w:r>
          </w:p>
        </w:tc>
        <w:tc>
          <w:tcPr>
            <w:tcW w:type="dxa" w:w="2057"/>
          </w:tcPr>
          <w:p>
            <w:r>
              <w:rPr>
                <w:rFonts w:ascii="Arial" w:hAnsi="Arial"/>
                <w:b w:val="0"/>
                <w:sz w:val="14"/>
              </w:rPr>
            </w:r>
            <w:r>
              <w:rPr>
                <w:rFonts w:ascii="Arial" w:hAnsi="Arial"/>
                <w:b w:val="0"/>
                <w:sz w:val="14"/>
              </w:rPr>
              <w:t>30</w:t>
            </w:r>
          </w:p>
        </w:tc>
        <w:tc>
          <w:tcPr>
            <w:tcW w:type="dxa" w:w="2057"/>
          </w:tcPr>
          <w:p>
            <w:r>
              <w:rPr>
                <w:rFonts w:ascii="Arial" w:hAnsi="Arial"/>
                <w:b w:val="0"/>
                <w:sz w:val="14"/>
              </w:rPr>
            </w:r>
            <w:r>
              <w:rPr>
                <w:rFonts w:ascii="Arial" w:hAnsi="Arial"/>
                <w:b w:val="0"/>
                <w:sz w:val="14"/>
              </w:rPr>
              <w:t>7.297</w:t>
            </w:r>
          </w:p>
        </w:tc>
        <w:tc>
          <w:tcPr>
            <w:tcW w:type="dxa" w:w="2057"/>
          </w:tcPr>
          <w:p>
            <w:r>
              <w:rPr>
                <w:rFonts w:ascii="Arial" w:hAnsi="Arial"/>
                <w:b w:val="0"/>
                <w:sz w:val="14"/>
              </w:rPr>
            </w:r>
            <w:r>
              <w:rPr>
                <w:rFonts w:ascii="Arial" w:hAnsi="Arial"/>
                <w:b w:val="0"/>
                <w:sz w:val="14"/>
              </w:rPr>
              <w:t>2.283</w:t>
            </w:r>
          </w:p>
        </w:tc>
        <w:tc>
          <w:tcPr>
            <w:tcW w:type="dxa" w:w="2057"/>
          </w:tcPr>
          <w:p>
            <w:r>
              <w:rPr>
                <w:rFonts w:ascii="Arial" w:hAnsi="Arial"/>
                <w:b w:val="0"/>
                <w:sz w:val="14"/>
              </w:rPr>
            </w:r>
            <w:r>
              <w:rPr>
                <w:rFonts w:ascii="Arial" w:hAnsi="Arial"/>
                <w:b w:val="0"/>
                <w:sz w:val="14"/>
              </w:rPr>
              <w:t>4.399</w:t>
            </w:r>
          </w:p>
        </w:tc>
        <w:tc>
          <w:tcPr>
            <w:tcW w:type="dxa" w:w="2057"/>
          </w:tcPr>
          <w:p>
            <w:r>
              <w:rPr>
                <w:rFonts w:ascii="Arial" w:hAnsi="Arial"/>
                <w:b w:val="0"/>
                <w:sz w:val="14"/>
              </w:rPr>
            </w:r>
            <w:r>
              <w:rPr>
                <w:rFonts w:ascii="Arial" w:hAnsi="Arial"/>
                <w:b w:val="0"/>
                <w:sz w:val="14"/>
              </w:rPr>
              <w:t>3.20x</w:t>
            </w:r>
          </w:p>
        </w:tc>
        <w:tc>
          <w:tcPr>
            <w:tcW w:type="dxa" w:w="2057"/>
          </w:tcPr>
          <w:p>
            <w:r>
              <w:rPr>
                <w:rFonts w:ascii="Arial" w:hAnsi="Arial"/>
                <w:b w:val="0"/>
                <w:sz w:val="14"/>
              </w:rPr>
            </w:r>
            <w:r>
              <w:rPr>
                <w:rFonts w:ascii="Arial" w:hAnsi="Arial"/>
                <w:b w:val="0"/>
                <w:sz w:val="14"/>
              </w:rPr>
            </w:r>
            <w:r>
              <w:rPr>
                <w:rFonts w:ascii="Arial" w:hAnsi="Arial"/>
                <w:b/>
                <w:i w:val="0"/>
                <w:sz w:val="14"/>
              </w:rPr>
              <w:t>1.66x</w:t>
            </w:r>
            <w:r>
              <w:rPr>
                <w:rFonts w:ascii="Arial" w:hAnsi="Arial"/>
                <w:b w:val="0"/>
                <w:sz w:val="14"/>
              </w:rPr>
            </w:r>
          </w:p>
        </w:tc>
      </w:tr>
      <w:tr>
        <w:tc>
          <w:tcPr>
            <w:tcW w:type="dxa" w:w="2057"/>
          </w:tcPr>
          <w:p>
            <w:r>
              <w:rPr>
                <w:rFonts w:ascii="Arial" w:hAnsi="Arial"/>
                <w:b w:val="0"/>
                <w:sz w:val="14"/>
              </w:rPr>
            </w:r>
            <w:r>
              <w:rPr>
                <w:rFonts w:ascii="Arial" w:hAnsi="Arial"/>
                <w:b w:val="0"/>
                <w:sz w:val="14"/>
              </w:rPr>
              <w:t>INT64</w:t>
            </w:r>
          </w:p>
        </w:tc>
        <w:tc>
          <w:tcPr>
            <w:tcW w:type="dxa" w:w="2057"/>
          </w:tcPr>
          <w:p>
            <w:r>
              <w:rPr>
                <w:rFonts w:ascii="Arial" w:hAnsi="Arial"/>
                <w:b w:val="0"/>
                <w:sz w:val="14"/>
              </w:rPr>
            </w:r>
            <w:r>
              <w:rPr>
                <w:rFonts w:ascii="Arial" w:hAnsi="Arial"/>
                <w:b w:val="0"/>
                <w:sz w:val="14"/>
              </w:rPr>
              <w:t>6</w:t>
            </w:r>
          </w:p>
        </w:tc>
        <w:tc>
          <w:tcPr>
            <w:tcW w:type="dxa" w:w="2057"/>
          </w:tcPr>
          <w:p>
            <w:r>
              <w:rPr>
                <w:rFonts w:ascii="Arial" w:hAnsi="Arial"/>
                <w:b w:val="0"/>
                <w:sz w:val="14"/>
              </w:rPr>
            </w:r>
            <w:r>
              <w:rPr>
                <w:rFonts w:ascii="Arial" w:hAnsi="Arial"/>
                <w:b w:val="0"/>
                <w:sz w:val="14"/>
              </w:rPr>
              <w:t>11.280</w:t>
            </w:r>
          </w:p>
        </w:tc>
        <w:tc>
          <w:tcPr>
            <w:tcW w:type="dxa" w:w="2057"/>
          </w:tcPr>
          <w:p>
            <w:r>
              <w:rPr>
                <w:rFonts w:ascii="Arial" w:hAnsi="Arial"/>
                <w:b w:val="0"/>
                <w:sz w:val="14"/>
              </w:rPr>
            </w:r>
            <w:r>
              <w:rPr>
                <w:rFonts w:ascii="Arial" w:hAnsi="Arial"/>
                <w:b w:val="0"/>
                <w:sz w:val="14"/>
              </w:rPr>
              <w:t>5.668</w:t>
            </w:r>
          </w:p>
        </w:tc>
        <w:tc>
          <w:tcPr>
            <w:tcW w:type="dxa" w:w="2057"/>
          </w:tcPr>
          <w:p>
            <w:r>
              <w:rPr>
                <w:rFonts w:ascii="Arial" w:hAnsi="Arial"/>
                <w:b w:val="0"/>
                <w:sz w:val="14"/>
              </w:rPr>
            </w:r>
            <w:r>
              <w:rPr>
                <w:rFonts w:ascii="Arial" w:hAnsi="Arial"/>
                <w:b w:val="0"/>
                <w:sz w:val="14"/>
              </w:rPr>
              <w:t>8.009</w:t>
            </w:r>
          </w:p>
        </w:tc>
        <w:tc>
          <w:tcPr>
            <w:tcW w:type="dxa" w:w="2057"/>
          </w:tcPr>
          <w:p>
            <w:r>
              <w:rPr>
                <w:rFonts w:ascii="Arial" w:hAnsi="Arial"/>
                <w:b w:val="0"/>
                <w:sz w:val="14"/>
              </w:rPr>
            </w:r>
            <w:r>
              <w:rPr>
                <w:rFonts w:ascii="Arial" w:hAnsi="Arial"/>
                <w:b w:val="0"/>
                <w:sz w:val="14"/>
              </w:rPr>
              <w:t>1.99x</w:t>
            </w:r>
          </w:p>
        </w:tc>
        <w:tc>
          <w:tcPr>
            <w:tcW w:type="dxa" w:w="2057"/>
          </w:tcPr>
          <w:p>
            <w:r>
              <w:rPr>
                <w:rFonts w:ascii="Arial" w:hAnsi="Arial"/>
                <w:b w:val="0"/>
                <w:sz w:val="14"/>
              </w:rPr>
            </w:r>
            <w:r>
              <w:rPr>
                <w:rFonts w:ascii="Arial" w:hAnsi="Arial"/>
                <w:b w:val="0"/>
                <w:sz w:val="14"/>
              </w:rPr>
            </w:r>
            <w:r>
              <w:rPr>
                <w:rFonts w:ascii="Arial" w:hAnsi="Arial"/>
                <w:b/>
                <w:i w:val="0"/>
                <w:sz w:val="14"/>
              </w:rPr>
              <w:t>1.41x</w:t>
            </w:r>
            <w:r>
              <w:rPr>
                <w:rFonts w:ascii="Arial" w:hAnsi="Arial"/>
                <w:b w:val="0"/>
                <w:sz w:val="14"/>
              </w:rPr>
            </w:r>
          </w:p>
        </w:tc>
      </w:tr>
      <w:tr>
        <w:tc>
          <w:tcPr>
            <w:tcW w:type="dxa" w:w="2057"/>
          </w:tcPr>
          <w:p>
            <w:r>
              <w:rPr>
                <w:rFonts w:ascii="Arial" w:hAnsi="Arial"/>
                <w:b w:val="0"/>
                <w:sz w:val="14"/>
              </w:rPr>
            </w:r>
            <w:r>
              <w:rPr>
                <w:rFonts w:ascii="Arial" w:hAnsi="Arial"/>
                <w:b w:val="0"/>
                <w:sz w:val="14"/>
              </w:rPr>
              <w:t>Combined</w:t>
            </w:r>
          </w:p>
        </w:tc>
        <w:tc>
          <w:tcPr>
            <w:tcW w:type="dxa" w:w="2057"/>
          </w:tcPr>
          <w:p>
            <w:r>
              <w:rPr>
                <w:rFonts w:ascii="Arial" w:hAnsi="Arial"/>
                <w:b w:val="0"/>
                <w:sz w:val="14"/>
              </w:rPr>
            </w:r>
            <w:r>
              <w:rPr>
                <w:rFonts w:ascii="Arial" w:hAnsi="Arial"/>
                <w:b w:val="0"/>
                <w:sz w:val="14"/>
              </w:rPr>
              <w:t>36</w:t>
            </w:r>
          </w:p>
        </w:tc>
        <w:tc>
          <w:tcPr>
            <w:tcW w:type="dxa" w:w="2057"/>
          </w:tcPr>
          <w:p>
            <w:r>
              <w:rPr>
                <w:rFonts w:ascii="Arial" w:hAnsi="Arial"/>
                <w:b w:val="0"/>
                <w:sz w:val="14"/>
              </w:rPr>
            </w:r>
            <w:r>
              <w:rPr>
                <w:rFonts w:ascii="Arial" w:hAnsi="Arial"/>
                <w:b w:val="0"/>
                <w:sz w:val="14"/>
              </w:rPr>
              <w:t>7.847</w:t>
            </w:r>
          </w:p>
        </w:tc>
        <w:tc>
          <w:tcPr>
            <w:tcW w:type="dxa" w:w="2057"/>
          </w:tcPr>
          <w:p>
            <w:r>
              <w:rPr>
                <w:rFonts w:ascii="Arial" w:hAnsi="Arial"/>
                <w:b w:val="0"/>
                <w:sz w:val="14"/>
              </w:rPr>
            </w:r>
            <w:r>
              <w:rPr>
                <w:rFonts w:ascii="Arial" w:hAnsi="Arial"/>
                <w:b w:val="0"/>
                <w:sz w:val="14"/>
              </w:rPr>
              <w:t>2.657</w:t>
            </w:r>
          </w:p>
        </w:tc>
        <w:tc>
          <w:tcPr>
            <w:tcW w:type="dxa" w:w="2057"/>
          </w:tcPr>
          <w:p>
            <w:r>
              <w:rPr>
                <w:rFonts w:ascii="Arial" w:hAnsi="Arial"/>
                <w:b w:val="0"/>
                <w:sz w:val="14"/>
              </w:rPr>
            </w:r>
            <w:r>
              <w:rPr>
                <w:rFonts w:ascii="Arial" w:hAnsi="Arial"/>
                <w:b w:val="0"/>
                <w:sz w:val="14"/>
              </w:rPr>
              <w:t>4.861</w:t>
            </w:r>
          </w:p>
        </w:tc>
        <w:tc>
          <w:tcPr>
            <w:tcW w:type="dxa" w:w="2057"/>
          </w:tcPr>
          <w:p>
            <w:r>
              <w:rPr>
                <w:rFonts w:ascii="Arial" w:hAnsi="Arial"/>
                <w:b w:val="0"/>
                <w:sz w:val="14"/>
              </w:rPr>
            </w:r>
            <w:r>
              <w:rPr>
                <w:rFonts w:ascii="Arial" w:hAnsi="Arial"/>
                <w:b w:val="0"/>
                <w:sz w:val="14"/>
              </w:rPr>
              <w:t>2.95x</w:t>
            </w:r>
          </w:p>
        </w:tc>
        <w:tc>
          <w:tcPr>
            <w:tcW w:type="dxa" w:w="2057"/>
          </w:tcPr>
          <w:p>
            <w:r>
              <w:rPr>
                <w:rFonts w:ascii="Arial" w:hAnsi="Arial"/>
                <w:b w:val="0"/>
                <w:sz w:val="14"/>
              </w:rPr>
            </w:r>
            <w:r>
              <w:rPr>
                <w:rFonts w:ascii="Arial" w:hAnsi="Arial"/>
                <w:b w:val="0"/>
                <w:sz w:val="14"/>
              </w:rPr>
            </w:r>
            <w:r>
              <w:rPr>
                <w:rFonts w:ascii="Arial" w:hAnsi="Arial"/>
                <w:b/>
                <w:i w:val="0"/>
                <w:sz w:val="14"/>
              </w:rPr>
              <w:t>1.61x</w:t>
            </w:r>
            <w:r>
              <w:rPr>
                <w:rFonts w:ascii="Arial" w:hAnsi="Arial"/>
                <w:b w:val="0"/>
                <w:sz w:val="14"/>
              </w:rPr>
            </w:r>
          </w:p>
        </w:tc>
      </w:tr>
    </w:tbl>
    <w:p>
      <w:pPr>
        <w:pStyle w:val="Heading1"/>
      </w:pPr>
      <w:r>
        <w:t>Layout: where the remaining work comes from</w:t>
      </w:r>
    </w:p>
    <w:p>
      <w:r>
        <w:t>Every bracket below is inside one independently decodable 1,024-value PFOR vector.</w:t>
      </w:r>
    </w:p>
    <w:p>
      <w:r>
        <w:rPr>
          <w:rFonts w:ascii="Courier New" w:hAnsi="Courier New"/>
          <w:sz w:val="14"/>
        </w:rPr>
        <w:t>PFOR-PatchedDelta</w:t>
        <w:br/>
        <w:t>+----------------+-------+----------------------+---------------------------+</w:t>
        <w:br/>
        <w:t>| frame,width,   | first | 1,024 packed offsets | sparse exception positions|</w:t>
        <w:br/>
        <w:t>| delta flag,... | value | at ONE bit width     | and exception differences |</w:t>
        <w:br/>
        <w:t>+----------------+-------+----------------------+---------------------------+</w:t>
        <w:br/>
        <w:t xml:space="preserve">                    one unpack call                 patch before prefix sum</w:t>
        <w:br/>
        <w:br/>
        <w:t>PFOR-DBPDelta (INT32; INT64 has 4 blocks and 16 miniblocks)</w:t>
        <w:br/>
        <w:t>+------------+-------+----------------------------------------------------+</w:t>
        <w:br/>
        <w:t>| DBP header | first | 8 blocks x [min_delta | 4 widths | 4 miniblocks]   |</w:t>
        <w:br/>
        <w:t>+------------+-------+----------------------------------------------------+</w:t>
        <w:br/>
        <w:t xml:space="preserve">                        32 miniblocks; widths may change at each boundary</w:t>
      </w:r>
    </w:p>
    <w:p>
      <w:r>
        <w:t>DBP's block metadata can represent four local widths without exceptions, but decoding must observe those boundaries. Optimized DBP removes avoidable overhead within that layout; it cannot turn unequal-width miniblocks, or miniblocks in different blocks, into PatchedDelta's single-width run.</w:t>
      </w:r>
    </w:p>
    <w:p>
      <w:pPr>
        <w:pStyle w:val="Heading1"/>
      </w:pPr>
      <w:r>
        <w:t>Decode pseudocode</w:t>
      </w:r>
    </w:p>
    <w:p>
      <w:r>
        <w:rPr>
          <w:rFonts w:ascii="Courier New" w:hAnsi="Courier New"/>
          <w:sz w:val="14"/>
        </w:rPr>
        <w:t>PatchedDelta(vector):</w:t>
        <w:br/>
        <w:t xml:space="preserve">  read one frame, width, start value, and exception list</w:t>
        <w:br/>
        <w:t xml:space="preserve">  unpack_bias(all 1,024 offsets, width, frame)       // one unpack invocation</w:t>
        <w:br/>
        <w:t xml:space="preserve">  patch sparse exception differences</w:t>
        <w:br/>
        <w:t xml:space="preserve">  values = prefix_sum(differences, start)            // one scalar pass today</w:t>
        <w:br/>
        <w:br/>
        <w:t>BaselineDBP(vector):</w:t>
        <w:br/>
        <w:t xml:space="preserve">  for each block:</w:t>
        <w:br/>
        <w:t xml:space="preserve">    read min_delta and four widths</w:t>
        <w:br/>
        <w:t xml:space="preserve">    for each miniblock:</w:t>
        <w:br/>
        <w:t xml:space="preserve">      GetBatch(one miniblock, its width)              // 32/16 invocations total</w:t>
        <w:br/>
        <w:t xml:space="preserve">      for each delta: value = previous + min_delta + offset</w:t>
        <w:br/>
        <w:br/>
        <w:t>OptimizedDBP(vector):</w:t>
        <w:br/>
        <w:t xml:space="preserve">  for each block:</w:t>
        <w:br/>
        <w:t xml:space="preserve">    read min_delta and four widths</w:t>
        <w:br/>
        <w:t xml:space="preserve">    coalesce adjacent miniblocks having the same width</w:t>
        <w:br/>
        <w:t xml:space="preserve">    for each equal-width run: GetBatch(run, width)    // fewer, data-dependent calls</w:t>
        <w:br/>
        <w:t xml:space="preserve">    SIMD inclusive_scan(offsets + min_delta, carry)  // register prefix scan</w:t>
      </w:r>
    </w:p>
    <w:p>
      <w:r>
        <w:t>Both layouts ultimately use Arrow's SIMD unpack kernels. The two DBP commits prove that implementation mattered: optimized DBP is 1.59x faster than baseline on the beneficial class and 1.83x faster on the non-beneficial class. PatchedDelta still wins because its metadata selects one width for the whole vector, its frame bias is fused into one unpack, and only sparse exceptions intervene before one prefix sum. DBP still parses per-block minima and widths and executes a data-dependent number of unpack runs. A separate control found that restarting DBP every 1,024 values retains 95.6% of whole-page DBP throughput, so repeated vector headers account for only about 4.4%.</w:t>
      </w:r>
    </w:p>
    <w:p>
      <w:pPr>
        <w:pStyle w:val="Heading1"/>
      </w:pPr>
      <w:r>
        <w:t>Recommendation</w:t>
      </w:r>
    </w:p>
    <w:p>
      <w:r>
        <w:t xml:space="preserve">Keep </w:t>
      </w:r>
      <w:r>
        <w:rPr>
          <w:rFonts w:ascii="Courier New" w:hAnsi="Courier New"/>
          <w:b w:val="0"/>
          <w:i w:val="0"/>
          <w:sz w:val="16"/>
        </w:rPr>
        <w:t>PFOR-PatchedDelta</w:t>
      </w:r>
      <w:r>
        <w:t>. On delta-beneficial data it is 35.1% smaller and 1.65x faster to decompress than optimized DBPDelta; on non-beneficial data it is 2.1% smaller and 1.61x faster. DBPDelta encodes 1.87x and 1.59x faster respectively, but the optimized decode results show that neither the baseline 2.6-3.0x result nor a claim that both delta layouts should perform alike is accurate.</w:t>
      </w:r>
    </w:p>
    <w:sectPr w:rsidR="00FC693F" w:rsidRPr="0006063C" w:rsidSect="00034616">
      <w:pgSz w:w="1584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244A7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