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Branching Strategies:</w:t>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https://www.flagship.io/git-branching-strategies/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the project starts, we will create a dev branch. At the current moment the Dev branc is empty.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developer can create a feature branch and work on it. Dev can deploy on the local sitecore deployment which will be Sitecore XP1 Single.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feature branch will be merged with the Dev branch and deployment is tested in the dev environment. PR will be raised to merge Dev to UAT and testing is performed on the UAT which will be idential to PROD envionment.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case of a high priority issue, we will create a hot-fix branch from the Master/Prod and fix the issue. Once the issue fixed, a cherry-pick will be used to take the hotfix commit and copy to Dev branch.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Prod -&gt; Hotfix -&gt; Prod -&gt; CherryPick Hotfix to Dev -&gt; Dev Merge to UAT -&gt; UAT to PROD.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term hotfix is generally used when client has found an issue within the current release of the product and can not wait to be fixed until the next big release. Hence a hotfix issue is created to fix it and is released as a part of update to the current release usually called Cumulative Update(CU). CUs are nothing but a bunch of hotfixes together.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Bugfix - We usually use this when an issue is found during the development and testing phase internally.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968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555436" cy="313848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55436"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407420" cy="8939213"/>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07420" cy="89392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agship.io/git-branching-strategi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qwG5uU1Zse63cOBWHQ6Guo8w==">AMUW2mVSp51OqtgKsS/+MwrCusc9f3PR608oo4CEEFfuKhc9NKOWz4TcHNyFMYF3fUQbwNZI6EWASyOzg/UV/YmEeUgvdOHmMokoZ/tk+g2hc5pxOcMuh9Y=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