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25400" l="25400" r="25400" t="254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25400" l="25400" r="25400" t="254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https://www.atlassian.com/continuous-delivery/principles/continuous-integration-vs-delivery-vs-deployment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https://www.magalix.com/blog/create-a-ci/cd-pipeline-with-kubernetes-and-jenkins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https://nvie.com/posts/a-successful-git-branching-model/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548188" cy="3476739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476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395788" cy="3656112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65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039389" cy="3528699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389" cy="3528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vie.com/posts/a-successful-git-branching-model/" TargetMode="External"/><Relationship Id="rId10" Type="http://schemas.openxmlformats.org/officeDocument/2006/relationships/hyperlink" Target="https://www.magalix.com/blog/create-a-ci/cd-pipeline-with-kubernetes-and-jenkins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tlassian.com/continuous-delivery/principles/continuous-integration-vs-delivery-vs-deployment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WU5kUz0LmTmTV+RJaNyqTQ0oSQ==">AMUW2mUx7RLltv+oYlz8KK6fuBRaTqwwqYy8dgOlRXpShKKzqjYpUk+khPICE2Shx9U8FKZiudnJhC3flKSb4ANhEFM2wOM7p1o3yqpiyQQ5bNTGUiH2WKw=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