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w:p>
    <w:p>
      <w:pPr>
        <w:pStyle w:val="BodyText"/>
      </w:pPr>
      <m:oMathPara>
        <m:oMathParaPr>
          <m:jc m:val="center"/>
        </m:oMathPara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m:oMathPara>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Compact"/>
        <w:numPr>
          <w:numId w:val="1004"/>
          <w:ilvl w:val="3"/>
        </w:numPr>
      </w:pPr>
      <w:r>
        <w:t xml:space="preserve">(tm) (TM) (p) (P) +-</w:t>
      </w:r>
    </w:p>
    <w:p>
      <w:pPr>
        <w:pStyle w:val="FirstParagraph"/>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strike/>
        </w:rPr>
        <w:t xml:space="preserve">Strikethrough</w:t>
      </w:r>
    </w:p>
    <w:p>
      <w:pPr>
        <w:pStyle w:val="Heading2"/>
      </w:pPr>
      <w:bookmarkStart w:id="32" w:name="blockquotes"/>
      <w:bookmarkEnd w:id="32"/>
      <w:r>
        <w:t xml:space="preserve">Blockquotes</w:t>
      </w:r>
    </w:p>
    <w:p>
      <w:pPr>
        <w:pStyle w:val="BlockText"/>
      </w:pPr>
      <w:r>
        <w:t xml:space="preserve">Blockquotes can also be nested...</w:t>
      </w:r>
      <w:r>
        <w:t xml:space="preserve"> </w:t>
      </w:r>
      <w:r>
        <w:t xml:space="preserve">&gt; ...by using additional greater-than signs right next to each other...</w:t>
      </w:r>
      <w:r>
        <w:t xml:space="preserve"> </w:t>
      </w:r>
      <w:r>
        <w:t xml:space="preserve">&gt; &gt; ...or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5"/>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5"/>
          <w:ilvl w:val="0"/>
        </w:numPr>
      </w:pPr>
      <w:r>
        <w:t xml:space="preserve">Sub-lists are made by indenting 2 spaces:</w:t>
      </w:r>
    </w:p>
    <w:p>
      <w:pPr>
        <w:pStyle w:val="Compact"/>
        <w:numPr>
          <w:numId w:val="1005"/>
          <w:ilvl w:val="0"/>
        </w:numPr>
      </w:pPr>
      <w:r>
        <w:t xml:space="preserve">Marker character change forces new list start:</w:t>
      </w:r>
    </w:p>
    <w:p>
      <w:pPr>
        <w:pStyle w:val="Compact"/>
        <w:numPr>
          <w:numId w:val="1006"/>
          <w:ilvl w:val="1"/>
        </w:numPr>
      </w:pPr>
      <w:r>
        <w:t xml:space="preserve">Ac tristique libero volutpat at</w:t>
      </w:r>
    </w:p>
    <w:p>
      <w:pPr>
        <w:pStyle w:val="Compact"/>
        <w:numPr>
          <w:numId w:val="1006"/>
          <w:ilvl w:val="1"/>
        </w:numPr>
      </w:pPr>
      <w:r>
        <w:t xml:space="preserve">Facilisis in pretium nisl aliquet</w:t>
      </w:r>
    </w:p>
    <w:p>
      <w:pPr>
        <w:pStyle w:val="Compact"/>
        <w:numPr>
          <w:numId w:val="1006"/>
          <w:ilvl w:val="1"/>
        </w:numPr>
      </w:pPr>
      <w:r>
        <w:t xml:space="preserve">Nulla volutpat aliquam velit</w:t>
      </w:r>
    </w:p>
    <w:p>
      <w:pPr>
        <w:pStyle w:val="Compact"/>
        <w:numPr>
          <w:numId w:val="1005"/>
          <w:ilvl w:val="0"/>
        </w:numPr>
      </w:pPr>
      <w:r>
        <w:t xml:space="preserve">Very easy!</w:t>
      </w:r>
    </w:p>
    <w:p>
      <w:pPr>
        <w:pStyle w:val="FirstParagraph"/>
      </w:pPr>
      <w:r>
        <w:t xml:space="preserve">Ordered</w:t>
      </w:r>
    </w:p>
    <w:p>
      <w:pPr>
        <w:pStyle w:val="Compact"/>
        <w:numPr>
          <w:numId w:val="1007"/>
          <w:ilvl w:val="0"/>
        </w:numPr>
      </w:pPr>
      <w:r>
        <w:t xml:space="preserve">Lorem ipsum dolor sit amet</w:t>
      </w:r>
    </w:p>
    <w:p>
      <w:pPr>
        <w:pStyle w:val="Compact"/>
        <w:numPr>
          <w:numId w:val="1007"/>
          <w:ilvl w:val="0"/>
        </w:numPr>
      </w:pPr>
      <w:r>
        <w:t xml:space="preserve">Consectetur adipiscing elit</w:t>
      </w:r>
    </w:p>
    <w:p>
      <w:pPr>
        <w:numPr>
          <w:numId w:val="1007"/>
          <w:ilvl w:val="0"/>
        </w:numPr>
      </w:pPr>
      <w:r>
        <w:t xml:space="preserve">Integer molestie lorem at massa</w:t>
      </w:r>
    </w:p>
    <w:p>
      <w:pPr>
        <w:pStyle w:val="Compact"/>
        <w:numPr>
          <w:numId w:val="1007"/>
          <w:ilvl w:val="0"/>
        </w:numPr>
      </w:pPr>
      <w:r>
        <w:t xml:space="preserve">You can use sequential numbers...</w:t>
      </w:r>
    </w:p>
    <w:p>
      <w:pPr>
        <w:numPr>
          <w:numId w:val="1007"/>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8"/>
          <w:ilvl w:val="0"/>
        </w:numPr>
      </w:pPr>
      <w:r>
        <w:t xml:space="preserve">foo</w:t>
      </w:r>
    </w:p>
    <w:p>
      <w:pPr>
        <w:pStyle w:val="Compact"/>
        <w:numPr>
          <w:numId w:val="1008"/>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FigureWithCaption"/>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9"/>
          <w:ilvl w:val="0"/>
        </w:numPr>
      </w:pPr>
      <w:r>
        <w:t xml:space="preserve">19</w:t>
      </w:r>
      <w:r>
        <w:rPr>
          <w:vertAlign w:val="superscript"/>
        </w:rPr>
        <w:t xml:space="preserve">th</w:t>
      </w:r>
    </w:p>
    <w:p>
      <w:pPr>
        <w:pStyle w:val="Compact"/>
        <w:numPr>
          <w:numId w:val="1009"/>
          <w:ilvl w:val="0"/>
        </w:numPr>
      </w:pPr>
      <w:r>
        <w:t xml:space="preserve">H</w:t>
      </w:r>
      <w:r>
        <w:rPr>
          <w:vertAlign w:val="subscript"/>
        </w:rPr>
        <w:t xml:space="preserve">2</w:t>
      </w:r>
      <w:r>
        <w:t xml:space="preserve">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w:t>
      </w:r>
      <w:r>
        <w:rPr>
          <w:rStyle w:val="FootnoteReference"/>
        </w:rPr>
        <w:footnoteReference w:id="63"/>
      </w:r>
      <w:r>
        <w:t xml:space="preserve">.</w:t>
      </w:r>
    </w:p>
    <w:p>
      <w:pPr>
        <w:pStyle w:val="BodyText"/>
      </w:pPr>
      <w:r>
        <w:t xml:space="preserve">Footnote 2 link</w:t>
      </w:r>
      <w:r>
        <w:rPr>
          <w:rStyle w:val="FootnoteReference"/>
        </w:rPr>
        <w:footnoteReference w:id="64"/>
      </w:r>
      <w:r>
        <w:t xml:space="preserve">.</w:t>
      </w:r>
    </w:p>
    <w:p>
      <w:pPr>
        <w:pStyle w:val="BodyText"/>
      </w:pPr>
      <w:r>
        <w:t xml:space="preserve">Inline footnote</w:t>
      </w:r>
      <w:r>
        <w:rPr>
          <w:rStyle w:val="FootnoteReference"/>
        </w:rPr>
        <w:footnoteReference w:id="65"/>
      </w:r>
      <w:r>
        <w:t xml:space="preserve"> </w:t>
      </w:r>
      <w:r>
        <w:t xml:space="preserve">definition.</w:t>
      </w:r>
    </w:p>
    <w:p>
      <w:pPr>
        <w:pStyle w:val="BodyText"/>
      </w:pPr>
      <w:r>
        <w:t xml:space="preserve">Duplicated footnote reference</w:t>
      </w:r>
      <w:r>
        <w:rPr>
          <w:rStyle w:val="FootnoteReference"/>
        </w:rPr>
        <w:footnoteReference w:id="66"/>
      </w:r>
      <w:r>
        <w:t xml:space="preserve">.</w:t>
      </w:r>
    </w:p>
    <w:p>
      <w:pPr>
        <w:pStyle w:val="Heading3"/>
      </w:pPr>
      <w:bookmarkStart w:id="68" w:name="definition-lists"/>
      <w:bookmarkEnd w:id="68"/>
      <w:hyperlink r:id="rId67">
        <w:r>
          <w:rPr>
            <w:rStyle w:val="Hyperlink"/>
          </w:rPr>
          <w:t xml:space="preserve">Definition lists</w:t>
        </w:r>
      </w:hyperlink>
    </w:p>
    <w:p>
      <w:pPr>
        <w:pStyle w:val="DefinitionTerm"/>
      </w:pPr>
      <w:r>
        <w:t xml:space="preserve">Term 1</w:t>
      </w:r>
    </w:p>
    <w:p>
      <w:pPr>
        <w:pStyle w:val="Definition"/>
      </w:pPr>
      <w:r>
        <w:t xml:space="preserve">Definition 1</w:t>
      </w:r>
      <w:r>
        <w:t xml:space="preserve"> </w:t>
      </w:r>
      <w:r>
        <w:t xml:space="preserve">with lazy continuation.</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pPr>
        <w:pStyle w:val="FirstParagraph"/>
      </w:pPr>
      <w:r>
        <w:rPr>
          <w:i/>
        </w:rPr>
        <w:t xml:space="preserve">Compact style:</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Heading3"/>
      </w:pPr>
      <w:bookmarkStart w:id="70" w:name="abbreviations"/>
      <w:bookmarkEnd w:id="70"/>
      <w:hyperlink r:id="rId69">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72" w:name="custom-containers"/>
      <w:bookmarkEnd w:id="72"/>
      <w:hyperlink r:id="rId71">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w:t>
      </w:r>
      <w:r>
        <w:t xml:space="preserve"> </w:t>
      </w:r>
      <w:r>
        <w:rPr>
          <w:b/>
        </w:rPr>
        <w:t xml:space="preserve">can have markup</w:t>
      </w:r>
    </w:p>
    <w:p>
      <w:pPr>
        <w:pStyle w:val="FootnoteText"/>
      </w:pPr>
      <w:r>
        <w:t xml:space="preserve">and multiple paragraphs.</w:t>
      </w:r>
    </w:p>
  </w:footnote>
  <w:footnote w:id="64">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Text of inline footnote</w:t>
      </w:r>
    </w:p>
  </w:footnote>
  <w:footnote w:id="66">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6e9c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bdc56b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833">
    <w:nsid w:val="492fe479"/>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7318">
    <w:nsid w:val="7d4bb163"/>
    <w:multiLevelType w:val="multilevel"/>
    <w:lvl w:ilvl="0">
      <w:start w:val="18"/>
      <w:numFmt w:val="lowerLetter"/>
      <w:lvlText w:val="(%1)"/>
      <w:lvlJc w:val="left"/>
      <w:pPr>
        <w:tabs>
          <w:tab w:val="num" w:pos="0"/>
        </w:tabs>
        <w:ind w:left="480" w:hanging="480"/>
      </w:pPr>
    </w:lvl>
    <w:lvl w:ilvl="1">
      <w:start w:val="18"/>
      <w:numFmt w:val="lowerLetter"/>
      <w:lvlText w:val="(%2)"/>
      <w:lvlJc w:val="left"/>
      <w:pPr>
        <w:tabs>
          <w:tab w:val="num" w:pos="720"/>
        </w:tabs>
        <w:ind w:left="1200" w:hanging="480"/>
      </w:pPr>
    </w:lvl>
    <w:lvl w:ilvl="2">
      <w:start w:val="18"/>
      <w:numFmt w:val="lowerLetter"/>
      <w:lvlText w:val="(%3)"/>
      <w:lvlJc w:val="left"/>
      <w:pPr>
        <w:tabs>
          <w:tab w:val="num" w:pos="1440"/>
        </w:tabs>
        <w:ind w:left="1920" w:hanging="480"/>
      </w:pPr>
    </w:lvl>
    <w:lvl w:ilvl="3">
      <w:start w:val="18"/>
      <w:numFmt w:val="lowerLetter"/>
      <w:lvlText w:val="(%4)"/>
      <w:lvlJc w:val="left"/>
      <w:pPr>
        <w:tabs>
          <w:tab w:val="num" w:pos="2160"/>
        </w:tabs>
        <w:ind w:left="2640" w:hanging="480"/>
      </w:pPr>
    </w:lvl>
    <w:lvl w:ilvl="4">
      <w:start w:val="18"/>
      <w:numFmt w:val="lowerLetter"/>
      <w:lvlText w:val="(%5)"/>
      <w:lvlJc w:val="left"/>
      <w:pPr>
        <w:tabs>
          <w:tab w:val="num" w:pos="2880"/>
        </w:tabs>
        <w:ind w:left="3360" w:hanging="480"/>
      </w:pPr>
    </w:lvl>
    <w:lvl w:ilvl="5">
      <w:start w:val="18"/>
      <w:numFmt w:val="lowerLetter"/>
      <w:lvlText w:val="(%6)"/>
      <w:lvlJc w:val="left"/>
      <w:pPr>
        <w:tabs>
          <w:tab w:val="num" w:pos="3600"/>
        </w:tabs>
        <w:ind w:left="4080" w:hanging="480"/>
      </w:pPr>
    </w:lvl>
    <w:lvl w:ilvl="6">
      <w:start w:val="18"/>
      <w:numFmt w:val="lowerLetter"/>
      <w:lvlText w:val="(%7)"/>
      <w:lvlJc w:val="left"/>
      <w:pPr>
        <w:tabs>
          <w:tab w:val="num" w:pos="4320"/>
        </w:tabs>
        <w:ind w:left="4800" w:hanging="480"/>
      </w:pPr>
    </w:lvl>
  </w:abstractNum>
  <w:abstractNum w:abstractNumId="998318">
    <w:nsid w:val="b3a1a406"/>
    <w:multiLevelType w:val="multilevel"/>
    <w:lvl w:ilvl="0">
      <w:start w:val="18"/>
      <w:numFmt w:val="upperLetter"/>
      <w:lvlText w:val="(%1)"/>
      <w:lvlJc w:val="left"/>
      <w:pPr>
        <w:tabs>
          <w:tab w:val="num" w:pos="0"/>
        </w:tabs>
        <w:ind w:left="480" w:hanging="480"/>
      </w:pPr>
    </w:lvl>
    <w:lvl w:ilvl="1">
      <w:start w:val="18"/>
      <w:numFmt w:val="upperLetter"/>
      <w:lvlText w:val="(%2)"/>
      <w:lvlJc w:val="left"/>
      <w:pPr>
        <w:tabs>
          <w:tab w:val="num" w:pos="720"/>
        </w:tabs>
        <w:ind w:left="1200" w:hanging="480"/>
      </w:pPr>
    </w:lvl>
    <w:lvl w:ilvl="2">
      <w:start w:val="18"/>
      <w:numFmt w:val="upperLetter"/>
      <w:lvlText w:val="(%3)"/>
      <w:lvlJc w:val="left"/>
      <w:pPr>
        <w:tabs>
          <w:tab w:val="num" w:pos="1440"/>
        </w:tabs>
        <w:ind w:left="1920" w:hanging="480"/>
      </w:pPr>
    </w:lvl>
    <w:lvl w:ilvl="3">
      <w:start w:val="18"/>
      <w:numFmt w:val="upperLetter"/>
      <w:lvlText w:val="(%4)"/>
      <w:lvlJc w:val="left"/>
      <w:pPr>
        <w:tabs>
          <w:tab w:val="num" w:pos="2160"/>
        </w:tabs>
        <w:ind w:left="2640" w:hanging="480"/>
      </w:pPr>
    </w:lvl>
    <w:lvl w:ilvl="4">
      <w:start w:val="18"/>
      <w:numFmt w:val="upperLetter"/>
      <w:lvlText w:val="(%5)"/>
      <w:lvlJc w:val="left"/>
      <w:pPr>
        <w:tabs>
          <w:tab w:val="num" w:pos="2880"/>
        </w:tabs>
        <w:ind w:left="3360" w:hanging="480"/>
      </w:pPr>
    </w:lvl>
    <w:lvl w:ilvl="5">
      <w:start w:val="18"/>
      <w:numFmt w:val="upperLetter"/>
      <w:lvlText w:val="(%6)"/>
      <w:lvlJc w:val="left"/>
      <w:pPr>
        <w:tabs>
          <w:tab w:val="num" w:pos="3600"/>
        </w:tabs>
        <w:ind w:left="4080" w:hanging="480"/>
      </w:pPr>
    </w:lvl>
    <w:lvl w:ilvl="6">
      <w:start w:val="18"/>
      <w:numFmt w:val="upperLetter"/>
      <w:lvlText w:val="(%7)"/>
      <w:lvlJc w:val="left"/>
      <w:pPr>
        <w:tabs>
          <w:tab w:val="num" w:pos="4320"/>
        </w:tabs>
        <w:ind w:left="4800" w:hanging="480"/>
      </w:pPr>
    </w:lvl>
  </w:abstractNum>
  <w:abstractNum w:abstractNumId="991">
    <w:nsid w:val="e420cc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c2f1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7">
    <w:nsid w:val="e0d0a9d2"/>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4">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2020-03-31T16:39:48Z</dcterms:created>
  <dcterms:modified xsi:type="dcterms:W3CDTF">2020-03-31T16:39:48Z</dcterms:modified>
</cp:coreProperties>
</file>