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D5F2" w14:textId="77777777" w:rsidR="007E45C8" w:rsidRDefault="00000000">
      <w:pPr>
        <w:spacing w:after="20"/>
      </w:pPr>
      <w:proofErr w:type="spellStart"/>
      <w:r>
        <w:rPr>
          <w:rFonts w:ascii="Calibri" w:eastAsia="Calibri" w:hAnsi="Calibri" w:cs="Calibri"/>
          <w:b/>
          <w:bCs/>
          <w:color w:val="1F3864"/>
          <w:sz w:val="32"/>
          <w:szCs w:val="32"/>
        </w:rPr>
        <w:t>NeoMart</w:t>
      </w:r>
      <w:proofErr w:type="spellEnd"/>
      <w:r>
        <w:rPr>
          <w:rFonts w:ascii="Calibri" w:eastAsia="Calibri" w:hAnsi="Calibri" w:cs="Calibri"/>
          <w:b/>
          <w:bCs/>
          <w:color w:val="1F3864"/>
          <w:sz w:val="32"/>
          <w:szCs w:val="32"/>
        </w:rPr>
        <w:t xml:space="preserve"> Retail Performance</w:t>
      </w:r>
    </w:p>
    <w:p w14:paraId="6037845F" w14:textId="278C3BBE" w:rsidR="007E45C8" w:rsidRDefault="00000000">
      <w:pPr>
        <w:pBdr>
          <w:bottom w:val="single" w:sz="12" w:space="4" w:color="1F3864"/>
        </w:pBdr>
        <w:spacing w:after="140"/>
      </w:pPr>
      <w:r>
        <w:rPr>
          <w:rFonts w:ascii="Calibri" w:eastAsia="Calibri" w:hAnsi="Calibri" w:cs="Calibri"/>
          <w:color w:val="2E5C8A"/>
          <w:sz w:val="19"/>
          <w:szCs w:val="19"/>
        </w:rPr>
        <w:t>Executive Summary</w:t>
      </w:r>
      <w:r w:rsidR="002E46C6">
        <w:rPr>
          <w:rFonts w:ascii="Calibri" w:eastAsia="Calibri" w:hAnsi="Calibri" w:cs="Calibri"/>
          <w:color w:val="2E5C8A"/>
          <w:sz w:val="19"/>
          <w:szCs w:val="19"/>
        </w:rPr>
        <w:t xml:space="preserve"> - </w:t>
      </w:r>
      <w:r>
        <w:rPr>
          <w:rFonts w:ascii="Calibri" w:eastAsia="Calibri" w:hAnsi="Calibri" w:cs="Calibri"/>
          <w:color w:val="2E5C8A"/>
          <w:sz w:val="19"/>
          <w:szCs w:val="19"/>
        </w:rPr>
        <w:t>Full-Year Sales, Profit &amp; Operations Review</w:t>
      </w:r>
    </w:p>
    <w:p w14:paraId="4CDE1A16" w14:textId="77777777" w:rsidR="007E45C8" w:rsidRDefault="00000000">
      <w:pPr>
        <w:pBdr>
          <w:bottom w:val="single" w:sz="6" w:space="2" w:color="2E5C8A"/>
        </w:pBdr>
        <w:spacing w:before="120" w:after="60"/>
      </w:pPr>
      <w:r>
        <w:rPr>
          <w:rFonts w:ascii="Calibri" w:eastAsia="Calibri" w:hAnsi="Calibri" w:cs="Calibri"/>
          <w:b/>
          <w:bCs/>
          <w:color w:val="1F3864"/>
          <w:sz w:val="21"/>
          <w:szCs w:val="21"/>
        </w:rPr>
        <w:t>1.  What Happened</w:t>
      </w:r>
    </w:p>
    <w:p w14:paraId="7F9B9535" w14:textId="4F2CB24E" w:rsidR="007E45C8" w:rsidRDefault="00000000">
      <w:pPr>
        <w:spacing w:after="60"/>
      </w:pPr>
      <w:proofErr w:type="spellStart"/>
      <w:r>
        <w:rPr>
          <w:rFonts w:ascii="Calibri" w:eastAsia="Calibri" w:hAnsi="Calibri" w:cs="Calibri"/>
          <w:color w:val="262626"/>
          <w:sz w:val="18"/>
          <w:szCs w:val="18"/>
        </w:rPr>
        <w:t>NeoMart</w:t>
      </w:r>
      <w:proofErr w:type="spellEnd"/>
      <w:r>
        <w:rPr>
          <w:rFonts w:ascii="Calibri" w:eastAsia="Calibri" w:hAnsi="Calibri" w:cs="Calibri"/>
          <w:color w:val="262626"/>
          <w:sz w:val="18"/>
          <w:szCs w:val="18"/>
        </w:rPr>
        <w:t xml:space="preserve"> closed the year with strong overall sales momentum</w:t>
      </w:r>
      <w:r w:rsidR="006B5B81">
        <w:rPr>
          <w:rFonts w:ascii="Calibri" w:eastAsia="Calibri" w:hAnsi="Calibri" w:cs="Calibri"/>
          <w:color w:val="262626"/>
          <w:sz w:val="18"/>
          <w:szCs w:val="18"/>
        </w:rPr>
        <w:t xml:space="preserve">; </w:t>
      </w:r>
      <w:r>
        <w:rPr>
          <w:rFonts w:ascii="Calibri" w:eastAsia="Calibri" w:hAnsi="Calibri" w:cs="Calibri"/>
          <w:color w:val="262626"/>
          <w:sz w:val="18"/>
          <w:szCs w:val="18"/>
        </w:rPr>
        <w:t xml:space="preserve"> total revenue climbed from a January dip to a year-high in December  but performance was uneven beneath the surface. The South region drove the most revenue yet posted the weakest customer satisfaction and slowest deliveries. Electronics was by far the most profitable category, while heavier discounting steadily eroded margins.</w:t>
      </w:r>
    </w:p>
    <w:tbl>
      <w:tblPr>
        <w:tblW w:w="9200" w:type="dxa"/>
        <w:tblCellMar>
          <w:left w:w="10" w:type="dxa"/>
          <w:right w:w="10" w:type="dxa"/>
        </w:tblCellMar>
        <w:tblLook w:val="0000" w:firstRow="0" w:lastRow="0" w:firstColumn="0" w:lastColumn="0" w:noHBand="0" w:noVBand="0"/>
      </w:tblPr>
      <w:tblGrid>
        <w:gridCol w:w="4786"/>
        <w:gridCol w:w="4414"/>
      </w:tblGrid>
      <w:tr w:rsidR="007E45C8" w14:paraId="28FF1BAD" w14:textId="77777777">
        <w:tblPrEx>
          <w:tblCellMar>
            <w:top w:w="0" w:type="dxa"/>
            <w:bottom w:w="0" w:type="dxa"/>
          </w:tblCellMar>
        </w:tblPrEx>
        <w:tc>
          <w:tcPr>
            <w:tcW w:w="3325" w:type="dxa"/>
            <w:tcMar>
              <w:top w:w="40" w:type="dxa"/>
              <w:left w:w="40" w:type="dxa"/>
              <w:bottom w:w="40" w:type="dxa"/>
              <w:right w:w="40" w:type="dxa"/>
            </w:tcMar>
          </w:tcPr>
          <w:p w14:paraId="0EB7FC95" w14:textId="77777777" w:rsidR="007E45C8" w:rsidRDefault="00000000">
            <w:pPr>
              <w:spacing w:after="20"/>
              <w:jc w:val="center"/>
            </w:pPr>
            <w:r>
              <w:rPr>
                <w:noProof/>
              </w:rPr>
              <w:drawing>
                <wp:inline distT="0" distB="0" distL="0" distR="0" wp14:anchorId="233CEA25" wp14:editId="72EF4808">
                  <wp:extent cx="2238375"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38375" cy="1066800"/>
                          </a:xfrm>
                          <a:prstGeom prst="rect">
                            <a:avLst/>
                          </a:prstGeom>
                        </pic:spPr>
                      </pic:pic>
                    </a:graphicData>
                  </a:graphic>
                </wp:inline>
              </w:drawing>
            </w:r>
          </w:p>
          <w:p w14:paraId="43618A04" w14:textId="77777777" w:rsidR="007E45C8" w:rsidRDefault="00000000">
            <w:pPr>
              <w:jc w:val="center"/>
            </w:pPr>
            <w:r>
              <w:rPr>
                <w:rFonts w:ascii="Calibri" w:eastAsia="Calibri" w:hAnsi="Calibri" w:cs="Calibri"/>
                <w:i/>
                <w:iCs/>
                <w:color w:val="595959"/>
                <w:sz w:val="14"/>
                <w:szCs w:val="14"/>
              </w:rPr>
              <w:t>Fig 1. Monthly sales dipped in Feb &amp; Jul, surged to a Dec peak</w:t>
            </w:r>
          </w:p>
        </w:tc>
        <w:tc>
          <w:tcPr>
            <w:tcW w:w="3325" w:type="dxa"/>
            <w:tcMar>
              <w:top w:w="40" w:type="dxa"/>
              <w:left w:w="40" w:type="dxa"/>
              <w:bottom w:w="40" w:type="dxa"/>
              <w:right w:w="40" w:type="dxa"/>
            </w:tcMar>
          </w:tcPr>
          <w:p w14:paraId="0FF8838A" w14:textId="77777777" w:rsidR="007E45C8" w:rsidRDefault="00000000">
            <w:pPr>
              <w:spacing w:after="20"/>
              <w:jc w:val="center"/>
            </w:pPr>
            <w:r>
              <w:rPr>
                <w:noProof/>
              </w:rPr>
              <w:drawing>
                <wp:inline distT="0" distB="0" distL="0" distR="0" wp14:anchorId="60AB5CC1" wp14:editId="29125013">
                  <wp:extent cx="1905000" cy="1200150"/>
                  <wp:effectExtent l="0" t="0" r="0" b="0"/>
                  <wp:docPr id="27208736" name="Picture 2720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0" cy="1200150"/>
                          </a:xfrm>
                          <a:prstGeom prst="rect">
                            <a:avLst/>
                          </a:prstGeom>
                        </pic:spPr>
                      </pic:pic>
                    </a:graphicData>
                  </a:graphic>
                </wp:inline>
              </w:drawing>
            </w:r>
          </w:p>
          <w:p w14:paraId="4BDAEE91" w14:textId="77777777" w:rsidR="007E45C8" w:rsidRDefault="00000000">
            <w:pPr>
              <w:jc w:val="center"/>
            </w:pPr>
            <w:r>
              <w:rPr>
                <w:rFonts w:ascii="Calibri" w:eastAsia="Calibri" w:hAnsi="Calibri" w:cs="Calibri"/>
                <w:i/>
                <w:iCs/>
                <w:color w:val="595959"/>
                <w:sz w:val="14"/>
                <w:szCs w:val="14"/>
              </w:rPr>
              <w:t>Fig 2. South leads sales; East lags all regions</w:t>
            </w:r>
          </w:p>
        </w:tc>
      </w:tr>
    </w:tbl>
    <w:p w14:paraId="5DD57E02" w14:textId="77777777" w:rsidR="007E45C8" w:rsidRDefault="00000000">
      <w:pPr>
        <w:pBdr>
          <w:bottom w:val="single" w:sz="6" w:space="2" w:color="2E5C8A"/>
        </w:pBdr>
        <w:spacing w:before="120" w:after="60"/>
      </w:pPr>
      <w:r>
        <w:rPr>
          <w:rFonts w:ascii="Calibri" w:eastAsia="Calibri" w:hAnsi="Calibri" w:cs="Calibri"/>
          <w:b/>
          <w:bCs/>
          <w:color w:val="1F3864"/>
          <w:sz w:val="21"/>
          <w:szCs w:val="21"/>
        </w:rPr>
        <w:t>2.  Why It Happened</w:t>
      </w:r>
    </w:p>
    <w:p w14:paraId="624FFB79" w14:textId="77777777" w:rsidR="007E45C8" w:rsidRDefault="00000000">
      <w:pPr>
        <w:pStyle w:val="ListParagraph"/>
        <w:numPr>
          <w:ilvl w:val="0"/>
          <w:numId w:val="1"/>
        </w:numPr>
        <w:spacing w:after="40"/>
        <w:ind w:left="200"/>
      </w:pPr>
      <w:r>
        <w:rPr>
          <w:rFonts w:ascii="Calibri" w:eastAsia="Calibri" w:hAnsi="Calibri" w:cs="Calibri"/>
          <w:color w:val="262626"/>
          <w:sz w:val="17"/>
          <w:szCs w:val="17"/>
        </w:rPr>
        <w:t>Seasonality &amp; promotions: the mid-year slump (Jun–Jul) and year-end surge point to seasonal demand and holiday promotions driving the swings, rather than steady organic growth.</w:t>
      </w:r>
    </w:p>
    <w:p w14:paraId="316F4E9D" w14:textId="7CF34CD8" w:rsidR="007E45C8" w:rsidRDefault="00000000">
      <w:pPr>
        <w:pStyle w:val="ListParagraph"/>
        <w:numPr>
          <w:ilvl w:val="0"/>
          <w:numId w:val="1"/>
        </w:numPr>
        <w:spacing w:after="40"/>
        <w:ind w:left="200"/>
      </w:pPr>
      <w:r>
        <w:rPr>
          <w:rFonts w:ascii="Calibri" w:eastAsia="Calibri" w:hAnsi="Calibri" w:cs="Calibri"/>
          <w:color w:val="262626"/>
          <w:sz w:val="17"/>
          <w:szCs w:val="17"/>
        </w:rPr>
        <w:t xml:space="preserve">Discounting is cutting into profit: Discount and Profit are moderately negatively correlated (r = –0.45) </w:t>
      </w:r>
      <w:r w:rsidR="006B5B81">
        <w:rPr>
          <w:rFonts w:ascii="Calibri" w:eastAsia="Calibri" w:hAnsi="Calibri" w:cs="Calibri"/>
          <w:color w:val="262626"/>
          <w:sz w:val="17"/>
          <w:szCs w:val="17"/>
        </w:rPr>
        <w:t xml:space="preserve">, </w:t>
      </w:r>
      <w:r>
        <w:rPr>
          <w:rFonts w:ascii="Calibri" w:eastAsia="Calibri" w:hAnsi="Calibri" w:cs="Calibri"/>
          <w:color w:val="262626"/>
          <w:sz w:val="17"/>
          <w:szCs w:val="17"/>
        </w:rPr>
        <w:t xml:space="preserve">heavier discounts are also linked to lower customer satisfaction (r = –0.64) and longer delivery times (r = 0.65), suggesting discount-driven orders strain </w:t>
      </w:r>
      <w:proofErr w:type="spellStart"/>
      <w:r>
        <w:rPr>
          <w:rFonts w:ascii="Calibri" w:eastAsia="Calibri" w:hAnsi="Calibri" w:cs="Calibri"/>
          <w:color w:val="262626"/>
          <w:sz w:val="17"/>
          <w:szCs w:val="17"/>
        </w:rPr>
        <w:t>fulfillment</w:t>
      </w:r>
      <w:proofErr w:type="spellEnd"/>
      <w:r>
        <w:rPr>
          <w:rFonts w:ascii="Calibri" w:eastAsia="Calibri" w:hAnsi="Calibri" w:cs="Calibri"/>
          <w:color w:val="262626"/>
          <w:sz w:val="17"/>
          <w:szCs w:val="17"/>
        </w:rPr>
        <w:t>.</w:t>
      </w:r>
    </w:p>
    <w:p w14:paraId="1627A7F7" w14:textId="6B75FB62" w:rsidR="007E45C8" w:rsidRDefault="00000000">
      <w:pPr>
        <w:pStyle w:val="ListParagraph"/>
        <w:numPr>
          <w:ilvl w:val="0"/>
          <w:numId w:val="1"/>
        </w:numPr>
        <w:spacing w:after="40"/>
        <w:ind w:left="200"/>
      </w:pPr>
      <w:r>
        <w:rPr>
          <w:rFonts w:ascii="Calibri" w:eastAsia="Calibri" w:hAnsi="Calibri" w:cs="Calibri"/>
          <w:color w:val="262626"/>
          <w:sz w:val="17"/>
          <w:szCs w:val="17"/>
        </w:rPr>
        <w:t>South region's growth outpaced its logistics: South delivers the most revenue but has the longest, most variable delivery times (median 7.7 days vs 4 elsewhere), which tracks with its lower, more volatile satisfaction scores (median 3.2 vs 4.2 elsewhere).</w:t>
      </w:r>
    </w:p>
    <w:p w14:paraId="0A637AC9" w14:textId="10614C1B" w:rsidR="007E45C8" w:rsidRDefault="00000000">
      <w:pPr>
        <w:pStyle w:val="ListParagraph"/>
        <w:numPr>
          <w:ilvl w:val="0"/>
          <w:numId w:val="1"/>
        </w:numPr>
        <w:spacing w:after="40"/>
        <w:ind w:left="200"/>
      </w:pPr>
      <w:r>
        <w:rPr>
          <w:rFonts w:ascii="Calibri" w:eastAsia="Calibri" w:hAnsi="Calibri" w:cs="Calibri"/>
          <w:color w:val="262626"/>
          <w:sz w:val="17"/>
          <w:szCs w:val="17"/>
        </w:rPr>
        <w:t>Uneven product mix: Electronics generates the most profit, Office Supplies is mid-tier, and Furniture trails well behind</w:t>
      </w:r>
      <w:r w:rsidR="006B5B81">
        <w:rPr>
          <w:rFonts w:ascii="Calibri" w:eastAsia="Calibri" w:hAnsi="Calibri" w:cs="Calibri"/>
          <w:color w:val="262626"/>
          <w:sz w:val="17"/>
          <w:szCs w:val="17"/>
        </w:rPr>
        <w:t xml:space="preserve">, </w:t>
      </w:r>
      <w:r>
        <w:rPr>
          <w:rFonts w:ascii="Calibri" w:eastAsia="Calibri" w:hAnsi="Calibri" w:cs="Calibri"/>
          <w:color w:val="262626"/>
          <w:sz w:val="17"/>
          <w:szCs w:val="17"/>
        </w:rPr>
        <w:t>likely reflecting pricing, cost structure, or slower inventory turns.</w:t>
      </w:r>
    </w:p>
    <w:tbl>
      <w:tblPr>
        <w:tblW w:w="9200" w:type="dxa"/>
        <w:tblCellMar>
          <w:left w:w="10" w:type="dxa"/>
          <w:right w:w="10" w:type="dxa"/>
        </w:tblCellMar>
        <w:tblLook w:val="0000" w:firstRow="0" w:lastRow="0" w:firstColumn="0" w:lastColumn="0" w:noHBand="0" w:noVBand="0"/>
      </w:tblPr>
      <w:tblGrid>
        <w:gridCol w:w="4600"/>
        <w:gridCol w:w="4600"/>
      </w:tblGrid>
      <w:tr w:rsidR="007E45C8" w14:paraId="6F888562" w14:textId="77777777">
        <w:tblPrEx>
          <w:tblCellMar>
            <w:top w:w="0" w:type="dxa"/>
            <w:bottom w:w="0" w:type="dxa"/>
          </w:tblCellMar>
        </w:tblPrEx>
        <w:tc>
          <w:tcPr>
            <w:tcW w:w="3325" w:type="dxa"/>
            <w:tcMar>
              <w:top w:w="40" w:type="dxa"/>
              <w:left w:w="40" w:type="dxa"/>
              <w:bottom w:w="40" w:type="dxa"/>
              <w:right w:w="40" w:type="dxa"/>
            </w:tcMar>
          </w:tcPr>
          <w:p w14:paraId="256A3282" w14:textId="77777777" w:rsidR="007E45C8" w:rsidRDefault="00000000">
            <w:pPr>
              <w:spacing w:after="20"/>
              <w:jc w:val="center"/>
            </w:pPr>
            <w:r>
              <w:rPr>
                <w:noProof/>
              </w:rPr>
              <w:drawing>
                <wp:inline distT="0" distB="0" distL="0" distR="0" wp14:anchorId="3E96BB53" wp14:editId="379D3180">
                  <wp:extent cx="2095500" cy="1266825"/>
                  <wp:effectExtent l="0" t="0" r="0" b="0"/>
                  <wp:docPr id="1022070726" name="Picture 102207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266825"/>
                          </a:xfrm>
                          <a:prstGeom prst="rect">
                            <a:avLst/>
                          </a:prstGeom>
                        </pic:spPr>
                      </pic:pic>
                    </a:graphicData>
                  </a:graphic>
                </wp:inline>
              </w:drawing>
            </w:r>
          </w:p>
          <w:p w14:paraId="7620759F" w14:textId="77777777" w:rsidR="007E45C8" w:rsidRDefault="00000000">
            <w:pPr>
              <w:jc w:val="center"/>
            </w:pPr>
            <w:r>
              <w:rPr>
                <w:rFonts w:ascii="Calibri" w:eastAsia="Calibri" w:hAnsi="Calibri" w:cs="Calibri"/>
                <w:i/>
                <w:iCs/>
                <w:color w:val="595959"/>
                <w:sz w:val="14"/>
                <w:szCs w:val="14"/>
              </w:rPr>
              <w:t>Fig 3. Profit trends down as discount level rises</w:t>
            </w:r>
          </w:p>
        </w:tc>
        <w:tc>
          <w:tcPr>
            <w:tcW w:w="3325" w:type="dxa"/>
            <w:tcMar>
              <w:top w:w="40" w:type="dxa"/>
              <w:left w:w="40" w:type="dxa"/>
              <w:bottom w:w="40" w:type="dxa"/>
              <w:right w:w="40" w:type="dxa"/>
            </w:tcMar>
          </w:tcPr>
          <w:p w14:paraId="564D5124" w14:textId="77777777" w:rsidR="007E45C8" w:rsidRDefault="00000000">
            <w:pPr>
              <w:spacing w:after="20"/>
              <w:jc w:val="center"/>
            </w:pPr>
            <w:r>
              <w:rPr>
                <w:noProof/>
              </w:rPr>
              <w:drawing>
                <wp:inline distT="0" distB="0" distL="0" distR="0" wp14:anchorId="2480C6E1" wp14:editId="7B5A753C">
                  <wp:extent cx="2095500" cy="1247775"/>
                  <wp:effectExtent l="0" t="0" r="0" b="0"/>
                  <wp:docPr id="266094687" name="Picture 26609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247775"/>
                          </a:xfrm>
                          <a:prstGeom prst="rect">
                            <a:avLst/>
                          </a:prstGeom>
                        </pic:spPr>
                      </pic:pic>
                    </a:graphicData>
                  </a:graphic>
                </wp:inline>
              </w:drawing>
            </w:r>
          </w:p>
          <w:p w14:paraId="6F2EBFFF" w14:textId="77777777" w:rsidR="007E45C8" w:rsidRDefault="00000000">
            <w:pPr>
              <w:jc w:val="center"/>
            </w:pPr>
            <w:r>
              <w:rPr>
                <w:rFonts w:ascii="Calibri" w:eastAsia="Calibri" w:hAnsi="Calibri" w:cs="Calibri"/>
                <w:i/>
                <w:iCs/>
                <w:color w:val="595959"/>
                <w:sz w:val="14"/>
                <w:szCs w:val="14"/>
              </w:rPr>
              <w:t>Fig 4. South's delivery times run far longer &amp; less predictable</w:t>
            </w:r>
          </w:p>
        </w:tc>
      </w:tr>
    </w:tbl>
    <w:p w14:paraId="6371E23B" w14:textId="77777777" w:rsidR="007E45C8" w:rsidRDefault="00000000">
      <w:pPr>
        <w:pBdr>
          <w:bottom w:val="single" w:sz="6" w:space="2" w:color="2E5C8A"/>
        </w:pBdr>
        <w:spacing w:before="120" w:after="60"/>
      </w:pPr>
      <w:r>
        <w:rPr>
          <w:rFonts w:ascii="Calibri" w:eastAsia="Calibri" w:hAnsi="Calibri" w:cs="Calibri"/>
          <w:b/>
          <w:bCs/>
          <w:color w:val="1F3864"/>
          <w:sz w:val="21"/>
          <w:szCs w:val="21"/>
        </w:rPr>
        <w:t>3.  What Management Should Do Next</w:t>
      </w:r>
    </w:p>
    <w:p w14:paraId="2300E55A" w14:textId="1CD7EC36" w:rsidR="007E45C8" w:rsidRDefault="00000000">
      <w:pPr>
        <w:pStyle w:val="ListParagraph"/>
        <w:numPr>
          <w:ilvl w:val="0"/>
          <w:numId w:val="1"/>
        </w:numPr>
        <w:spacing w:after="40"/>
        <w:ind w:left="200"/>
      </w:pPr>
      <w:r>
        <w:rPr>
          <w:rFonts w:ascii="Calibri" w:eastAsia="Calibri" w:hAnsi="Calibri" w:cs="Calibri"/>
          <w:color w:val="262626"/>
          <w:sz w:val="17"/>
          <w:szCs w:val="17"/>
        </w:rPr>
        <w:t>Tighten discount strategy: cap or target discounts (e.g., loyalty/clearance only) instead of broad markdowns to protect margin  discount levels above 15% show the steepest profit erosion.</w:t>
      </w:r>
    </w:p>
    <w:p w14:paraId="746B6118" w14:textId="670D6E13" w:rsidR="007E45C8" w:rsidRDefault="00000000">
      <w:pPr>
        <w:pStyle w:val="ListParagraph"/>
        <w:numPr>
          <w:ilvl w:val="0"/>
          <w:numId w:val="1"/>
        </w:numPr>
        <w:spacing w:after="40"/>
        <w:ind w:left="200"/>
      </w:pPr>
      <w:r>
        <w:rPr>
          <w:rFonts w:ascii="Calibri" w:eastAsia="Calibri" w:hAnsi="Calibri" w:cs="Calibri"/>
          <w:color w:val="262626"/>
          <w:sz w:val="17"/>
          <w:szCs w:val="17"/>
        </w:rPr>
        <w:t>Fix South region logistics: audit warehouse and carrier performance to close the 3–4 day delivery gap versus other regions; this is the most likely lever to lift South's satisfaction scores.</w:t>
      </w:r>
    </w:p>
    <w:p w14:paraId="5678C6C9" w14:textId="77777777" w:rsidR="007E45C8" w:rsidRDefault="00000000">
      <w:pPr>
        <w:pStyle w:val="ListParagraph"/>
        <w:numPr>
          <w:ilvl w:val="0"/>
          <w:numId w:val="1"/>
        </w:numPr>
        <w:spacing w:after="40"/>
        <w:ind w:left="200"/>
      </w:pPr>
      <w:r>
        <w:rPr>
          <w:rFonts w:ascii="Calibri" w:eastAsia="Calibri" w:hAnsi="Calibri" w:cs="Calibri"/>
          <w:color w:val="262626"/>
          <w:sz w:val="17"/>
          <w:szCs w:val="17"/>
        </w:rPr>
        <w:t>Grow the East region: launch targeted marketing and promotions to close the sales gap with North and West, its closest peers.</w:t>
      </w:r>
    </w:p>
    <w:p w14:paraId="726EEA9A" w14:textId="77777777" w:rsidR="007E45C8" w:rsidRDefault="00000000">
      <w:pPr>
        <w:pStyle w:val="ListParagraph"/>
        <w:numPr>
          <w:ilvl w:val="0"/>
          <w:numId w:val="1"/>
        </w:numPr>
        <w:spacing w:after="40"/>
        <w:ind w:left="200"/>
      </w:pPr>
      <w:r>
        <w:rPr>
          <w:rFonts w:ascii="Calibri" w:eastAsia="Calibri" w:hAnsi="Calibri" w:cs="Calibri"/>
          <w:color w:val="262626"/>
          <w:sz w:val="17"/>
          <w:szCs w:val="17"/>
        </w:rPr>
        <w:t>Double down on Electronics, fix Furniture: protect inventory and marketing investment in Electronics; review Furniture's pricing and supplier costs to lift its margin.</w:t>
      </w:r>
    </w:p>
    <w:p w14:paraId="242B1121" w14:textId="77777777" w:rsidR="007E45C8" w:rsidRDefault="00000000">
      <w:pPr>
        <w:pStyle w:val="ListParagraph"/>
        <w:numPr>
          <w:ilvl w:val="0"/>
          <w:numId w:val="1"/>
        </w:numPr>
        <w:spacing w:after="40"/>
        <w:ind w:left="200"/>
      </w:pPr>
      <w:r>
        <w:rPr>
          <w:rFonts w:ascii="Calibri" w:eastAsia="Calibri" w:hAnsi="Calibri" w:cs="Calibri"/>
          <w:color w:val="262626"/>
          <w:sz w:val="17"/>
          <w:szCs w:val="17"/>
        </w:rPr>
        <w:t>Institutionalize monitoring: track satisfaction and delivery KPIs by region monthly so issues like South's are caught before they affect full-year results.</w:t>
      </w:r>
    </w:p>
    <w:sectPr w:rsidR="007E45C8">
      <w:pgSz w:w="12240" w:h="15840"/>
      <w:pgMar w:top="620" w:right="700" w:bottom="5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E5B29"/>
    <w:multiLevelType w:val="hybridMultilevel"/>
    <w:tmpl w:val="FBE6501E"/>
    <w:lvl w:ilvl="0" w:tplc="FDAC6098">
      <w:start w:val="1"/>
      <w:numFmt w:val="bullet"/>
      <w:lvlText w:val="●"/>
      <w:lvlJc w:val="left"/>
      <w:pPr>
        <w:ind w:left="720" w:hanging="360"/>
      </w:pPr>
    </w:lvl>
    <w:lvl w:ilvl="1" w:tplc="14FEAC10">
      <w:start w:val="1"/>
      <w:numFmt w:val="bullet"/>
      <w:lvlText w:val="○"/>
      <w:lvlJc w:val="left"/>
      <w:pPr>
        <w:ind w:left="1440" w:hanging="360"/>
      </w:pPr>
    </w:lvl>
    <w:lvl w:ilvl="2" w:tplc="8442727A">
      <w:start w:val="1"/>
      <w:numFmt w:val="bullet"/>
      <w:lvlText w:val="■"/>
      <w:lvlJc w:val="left"/>
      <w:pPr>
        <w:ind w:left="2160" w:hanging="360"/>
      </w:pPr>
    </w:lvl>
    <w:lvl w:ilvl="3" w:tplc="353C9ACC">
      <w:start w:val="1"/>
      <w:numFmt w:val="bullet"/>
      <w:lvlText w:val="●"/>
      <w:lvlJc w:val="left"/>
      <w:pPr>
        <w:ind w:left="2880" w:hanging="360"/>
      </w:pPr>
    </w:lvl>
    <w:lvl w:ilvl="4" w:tplc="1BF8679C">
      <w:start w:val="1"/>
      <w:numFmt w:val="bullet"/>
      <w:lvlText w:val="○"/>
      <w:lvlJc w:val="left"/>
      <w:pPr>
        <w:ind w:left="3600" w:hanging="360"/>
      </w:pPr>
    </w:lvl>
    <w:lvl w:ilvl="5" w:tplc="5EEE51BE">
      <w:start w:val="1"/>
      <w:numFmt w:val="bullet"/>
      <w:lvlText w:val="■"/>
      <w:lvlJc w:val="left"/>
      <w:pPr>
        <w:ind w:left="4320" w:hanging="360"/>
      </w:pPr>
    </w:lvl>
    <w:lvl w:ilvl="6" w:tplc="749C070E">
      <w:start w:val="1"/>
      <w:numFmt w:val="bullet"/>
      <w:lvlText w:val="●"/>
      <w:lvlJc w:val="left"/>
      <w:pPr>
        <w:ind w:left="5040" w:hanging="360"/>
      </w:pPr>
    </w:lvl>
    <w:lvl w:ilvl="7" w:tplc="28BC18A0">
      <w:start w:val="1"/>
      <w:numFmt w:val="bullet"/>
      <w:lvlText w:val="●"/>
      <w:lvlJc w:val="left"/>
      <w:pPr>
        <w:ind w:left="5760" w:hanging="360"/>
      </w:pPr>
    </w:lvl>
    <w:lvl w:ilvl="8" w:tplc="2E803C90">
      <w:start w:val="1"/>
      <w:numFmt w:val="bullet"/>
      <w:lvlText w:val="●"/>
      <w:lvlJc w:val="left"/>
      <w:pPr>
        <w:ind w:left="6480" w:hanging="360"/>
      </w:pPr>
    </w:lvl>
  </w:abstractNum>
  <w:num w:numId="1" w16cid:durableId="117458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C8"/>
    <w:rsid w:val="002E46C6"/>
    <w:rsid w:val="00322BA2"/>
    <w:rsid w:val="006B5B81"/>
    <w:rsid w:val="00716AA4"/>
    <w:rsid w:val="007E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E99B"/>
  <w15:docId w15:val="{6FC090C6-A3F9-4E04-ABFD-97A6CE582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Prudence Onwachie</cp:lastModifiedBy>
  <cp:revision>4</cp:revision>
  <dcterms:created xsi:type="dcterms:W3CDTF">2026-07-10T03:44:00Z</dcterms:created>
  <dcterms:modified xsi:type="dcterms:W3CDTF">2026-07-10T19:32:00Z</dcterms:modified>
</cp:coreProperties>
</file>