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</w:pPr>
      <w:r>
        <w:t xml:space="preserve">CENTRO UNIVERSITÁRIO DE BRASÍLIA - CEUB</w:t>
      </w:r>
    </w:p>
    <w:p>
      <w:pPr>
        <w:pStyle w:val="Subtitle"/>
        <w:jc w:val="center"/>
      </w:pPr>
      <w:r>
        <w:t xml:space="preserve">ENGENHARIA CIVIL</w:t>
      </w:r>
    </w:p>
    <w:p>
      <w:pPr>
        <w:pStyle w:val="Title"/>
        <w:jc w:val="center"/>
      </w:pPr>
      <w:r>
        <w:t xml:space="preserve">ESTUDO DE VIABILIDADE TÉCNICO-ECONÔMICA DE SISTEMAS DE LAJE</w:t>
      </w:r>
    </w:p>
    <w:p>
      <w:pPr>
        <w:pStyle w:val="Subtitle"/>
        <w:jc w:val="center"/>
      </w:pPr>
      <w:r>
        <w:t xml:space="preserve">Igreja Santa Terezinha - Brasília/DF</w:t>
      </w:r>
    </w:p>
    <w:p>
      <w:pPr>
        <w:pStyle w:val="Subtitle"/>
        <w:jc w:val="center"/>
      </w:pPr>
      <w:r>
        <w:t xml:space="preserve">Disciplina: Inovação e Tecnologias na Construção Civil</w:t>
      </w:r>
    </w:p>
    <w:p>
      <w:pPr>
        <w:pStyle w:val="Subtitle"/>
        <w:jc w:val="center"/>
      </w:pPr>
      <w:r>
        <w:t xml:space="preserve">Base econômica: SINAPI DF - agosto/2026</w:t>
      </w:r>
    </w:p>
    <w:p>
      <w:pPr>
        <w:pStyle w:val="Normal"/>
      </w:pPr>
      <w:r>
        <w:t xml:space="preserve"/>
      </w:r>
    </w:p>
    <w:p>
      <w:pPr>
        <w:pStyle w:val="Normal"/>
        <w:jc w:val="center"/>
      </w:pPr>
      <w:r>
        <w:t xml:space="preserve">Matheus Prudente Santos - RA 22608758</w:t>
      </w:r>
    </w:p>
    <w:p>
      <w:pPr>
        <w:pStyle w:val="Normal"/>
        <w:jc w:val="center"/>
      </w:pPr>
      <w:r>
        <w:t xml:space="preserve">André Bento - RA 22452522</w:t>
      </w:r>
    </w:p>
    <w:p>
      <w:pPr>
        <w:pStyle w:val="Normal"/>
        <w:jc w:val="center"/>
      </w:pPr>
      <w:r>
        <w:t xml:space="preserve">Marcos Milhomem - RA 22450943</w:t>
      </w:r>
    </w:p>
    <w:p>
      <w:pPr>
        <w:pStyle w:val="Normal"/>
        <w:jc w:val="center"/>
      </w:pPr>
      <w:r>
        <w:t xml:space="preserve">Pedro Augusto Reis Brandao - RA 22401448</w:t>
      </w:r>
    </w:p>
    <w:p>
      <w:pPr>
        <w:pStyle w:val="Normal"/>
        <w:jc w:val="center"/>
      </w:pPr>
      <w:r>
        <w:t xml:space="preserve">Jorge Salomão - RA 22405368</w:t>
      </w:r>
    </w:p>
    <w:p>
      <w:pPr>
        <w:pStyle w:val="Subtitle"/>
        <w:jc w:val="center"/>
      </w:pPr>
      <w:r>
        <w:t xml:space="preserve">2026</w:t>
      </w:r>
    </w:p>
    <w:p>
      <w:r>
        <w:br w:type="page"/>
      </w:r>
    </w:p>
    <w:p>
      <w:pPr>
        <w:pStyle w:val="Heading1"/>
      </w:pPr>
      <w:r>
        <w:t xml:space="preserve">RESUMO EXECUTIVO</w:t>
      </w:r>
    </w:p>
    <w:p>
      <w:pPr>
        <w:pStyle w:val="Normal"/>
      </w:pPr>
      <w:r>
        <w:t xml:space="preserve">O estudo compara quatro sistemas de laje para a Igreja Santa Terezinha, em Brasília/DF: pré-moldada com lajota cerâmica, pré-moldada com enchimento em EPS, nervurada com cubeta e maciça de concreto armado. A análise atende ao escopo acadêmico: caracterização técnica, análise das condicionantes por zona, pré-dimensionamento indicativo, estimativa de custo e prazo, matriz multicritério e recomendação. Não integra o escopo o dimensionamento estrutural definitivo nem o detalhamento executivo.</w:t>
      </w:r>
    </w:p>
    <w:p>
      <w:pPr>
        <w:pStyle w:val="Normal"/>
      </w:pPr>
      <w:r>
        <w:t xml:space="preserve">O maior vão adotado é 4,93 m. Pelo critério indicado no roteiro, L/25 = 19,72 cm, L/30 = 16,43 cm e L/40 = 12,33 cm. Para comparação são adotados 20 cm para as lajes pré-moldadas e nervurada e 13 cm para a maciça.</w:t>
      </w:r>
    </w:p>
    <w:p>
      <w:pPr>
        <w:pStyle w:val="Normal"/>
      </w:pPr>
      <w:r>
        <w:t xml:space="preserve">A base econômica é exclusivamente o SINAPI do Distrito Federal, referência agosto/2026, regime desonerado. A cerâmica apresenta o menor custo direto, R$ 202,39/m²; o EPS custa R$ 206,29/m², apenas 1,9% a mais. A nervurada e a maciça, compostas parametricamente com itens SINAPI, resultam em aproximadamente R$ 243,31/m² e R$ 277,29/m².</w:t>
      </w:r>
    </w:p>
    <w:p>
      <w:pPr>
        <w:pStyle w:val="Normal"/>
      </w:pPr>
      <w:r>
        <w:t xml:space="preserve">A matriz multicritério resulta em EPS 80,6/100; cerâmica 79,6/100; nervurada 72,2/100; maciça 63,0/100. A solução selecionada é a laje pré-moldada unidirecional com vigota treliçada e enchimento em EPS, LT=20 cm, condicionada ao projeto estrutural definitivo para as cargas reais da igreja.</w:t>
      </w:r>
    </w:p>
    <w:p>
      <w:pPr>
        <w:pStyle w:val="Heading1"/>
      </w:pPr>
      <w:r>
        <w:t xml:space="preserve">PARTE I - ESCOPO SOLICITADO PELO PROFESSOR</w:t>
      </w:r>
    </w:p>
    <w:p>
      <w:pPr>
        <w:pStyle w:val="Heading2"/>
      </w:pPr>
      <w:r>
        <w:t xml:space="preserve">1. Objeto, dados e premissas</w:t>
      </w:r>
    </w:p>
    <w:p>
      <w:pPr>
        <w:pStyle w:val="Normal"/>
      </w:pPr>
      <w:r>
        <w:t xml:space="preserve">Objeto: Igreja Santa Terezinha. Local para referência de custos: Brasília/DF. Base: SINAPI DF, agosto/2026. O pior caso informado pelo grupo e adotado na análise é o vão de 4,93 m.</w:t>
      </w:r>
    </w:p>
    <w:p>
      <w:pPr>
        <w:pStyle w:val="Normal"/>
      </w:pPr>
      <w:r>
        <w:t xml:space="preserve">A comparação econômica é realizada em R$/m² e em módulo normalizado de 100 m². Isso permite concluir a viabilidade relativa antes do fechamento da área total das pranchas. Os quantitativos globais poderão ser incorporados posteriormente sem alterar os critérios de seleção.</w:t>
      </w:r>
    </w:p>
    <w:p>
      <w:pPr>
        <w:pStyle w:val="Heading2"/>
      </w:pPr>
      <w:r>
        <w:t xml:space="preserve">2. Proposta de zoneamento da edificação</w:t>
      </w:r>
    </w:p>
    <w:tbl>
      <w:tblPr>
        <w:tblStyle w:val="TableGrid"/>
        <w:tblW w:w="0" w:type="auto"/>
      </w:tblPr>
      <w:tr>
        <w:tc>
          <w:tcPr>
            <w:tcW w:w="85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w="218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Ambiente</w:t>
            </w:r>
          </w:p>
        </w:tc>
        <w:tc>
          <w:tcPr>
            <w:tcW w:w="190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Vão de análise</w:t>
            </w:r>
          </w:p>
        </w:tc>
        <w:tc>
          <w:tcPr>
            <w:tcW w:w="152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Sistema proposto</w:t>
            </w:r>
          </w:p>
        </w:tc>
        <w:tc>
          <w:tcPr>
            <w:tcW w:w="304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Controle principal</w:t>
            </w:r>
          </w:p>
        </w:tc>
      </w:tr>
      <w:tr>
        <w:tc>
          <w:tcPr>
            <w:tcW w:w="855" w:type="dxa"/>
          </w:tcPr>
          <w:p>
            <w:r>
              <w:rPr>
                <w:color w:val="1F2937"/>
                <w:sz w:val="17"/>
                <w:szCs w:val="17"/>
              </w:rPr>
              <w:t xml:space="preserve">Z1</w:t>
            </w:r>
          </w:p>
        </w:tc>
        <w:tc>
          <w:tcPr>
            <w:tcW w:w="2185" w:type="dxa"/>
          </w:tcPr>
          <w:p>
            <w:r>
              <w:rPr>
                <w:color w:val="1F2937"/>
                <w:sz w:val="17"/>
                <w:szCs w:val="17"/>
              </w:rPr>
              <w:t xml:space="preserve">Nave principal</w:t>
            </w:r>
          </w:p>
        </w:tc>
        <w:tc>
          <w:tcPr>
            <w:tcW w:w="1900" w:type="dxa"/>
          </w:tcPr>
          <w:p>
            <w:r>
              <w:rPr>
                <w:color w:val="1F2937"/>
                <w:sz w:val="17"/>
                <w:szCs w:val="17"/>
              </w:rPr>
              <w:t xml:space="preserve">4,93 m - caso crítico</w:t>
            </w:r>
          </w:p>
        </w:tc>
        <w:tc>
          <w:tcPr>
            <w:tcW w:w="1520" w:type="dxa"/>
          </w:tcPr>
          <w:p>
            <w:r>
              <w:rPr>
                <w:color w:val="1F2937"/>
                <w:sz w:val="17"/>
                <w:szCs w:val="17"/>
              </w:rPr>
              <w:t xml:space="preserve">EPS LT20</w:t>
            </w:r>
          </w:p>
        </w:tc>
        <w:tc>
          <w:tcPr>
            <w:tcW w:w="3040" w:type="dxa"/>
          </w:tcPr>
          <w:p>
            <w:r>
              <w:rPr>
                <w:color w:val="1F2937"/>
                <w:sz w:val="17"/>
                <w:szCs w:val="17"/>
              </w:rPr>
              <w:t xml:space="preserve">Carga de uso, flecha, escoramento e sequência de concretagem.</w:t>
            </w:r>
          </w:p>
        </w:tc>
      </w:tr>
      <w:tr>
        <w:tc>
          <w:tcPr>
            <w:tcW w:w="85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Z2</w:t>
            </w:r>
          </w:p>
        </w:tc>
        <w:tc>
          <w:tcPr>
            <w:tcW w:w="218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Presbitério / altar</w:t>
            </w:r>
          </w:p>
        </w:tc>
        <w:tc>
          <w:tcPr>
            <w:tcW w:w="190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4,93 m como envoltória conservadora</w:t>
            </w:r>
          </w:p>
        </w:tc>
        <w:tc>
          <w:tcPr>
            <w:tcW w:w="152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EPS LT20</w:t>
            </w:r>
          </w:p>
        </w:tc>
        <w:tc>
          <w:tcPr>
            <w:tcW w:w="304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Cargas localizadas e compatibilização arquitetônica.</w:t>
            </w:r>
          </w:p>
        </w:tc>
      </w:tr>
      <w:tr>
        <w:tc>
          <w:tcPr>
            <w:tcW w:w="855" w:type="dxa"/>
          </w:tcPr>
          <w:p>
            <w:r>
              <w:rPr>
                <w:color w:val="1F2937"/>
                <w:sz w:val="17"/>
                <w:szCs w:val="17"/>
              </w:rPr>
              <w:t xml:space="preserve">Z3</w:t>
            </w:r>
          </w:p>
        </w:tc>
        <w:tc>
          <w:tcPr>
            <w:tcW w:w="2185" w:type="dxa"/>
          </w:tcPr>
          <w:p>
            <w:r>
              <w:rPr>
                <w:color w:val="1F2937"/>
                <w:sz w:val="17"/>
                <w:szCs w:val="17"/>
              </w:rPr>
              <w:t xml:space="preserve">Circulação, coro/mezanino e áreas de reunião</w:t>
            </w:r>
          </w:p>
        </w:tc>
        <w:tc>
          <w:tcPr>
            <w:tcW w:w="1900" w:type="dxa"/>
          </w:tcPr>
          <w:p>
            <w:r>
              <w:rPr>
                <w:color w:val="1F2937"/>
                <w:sz w:val="17"/>
                <w:szCs w:val="17"/>
              </w:rPr>
              <w:t xml:space="preserve">4,93 m como envoltória conservadora</w:t>
            </w:r>
          </w:p>
        </w:tc>
        <w:tc>
          <w:tcPr>
            <w:tcW w:w="1520" w:type="dxa"/>
          </w:tcPr>
          <w:p>
            <w:r>
              <w:rPr>
                <w:color w:val="1F2937"/>
                <w:sz w:val="17"/>
                <w:szCs w:val="17"/>
              </w:rPr>
              <w:t xml:space="preserve">EPS LT20</w:t>
            </w:r>
          </w:p>
        </w:tc>
        <w:tc>
          <w:tcPr>
            <w:tcW w:w="3040" w:type="dxa"/>
          </w:tcPr>
          <w:p>
            <w:r>
              <w:rPr>
                <w:color w:val="1F2937"/>
                <w:sz w:val="17"/>
                <w:szCs w:val="17"/>
              </w:rPr>
              <w:t xml:space="preserve">Classificação da carga variável e reservas de instalações.</w:t>
            </w:r>
          </w:p>
        </w:tc>
      </w:tr>
      <w:tr>
        <w:tc>
          <w:tcPr>
            <w:tcW w:w="85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Z4</w:t>
            </w:r>
          </w:p>
        </w:tc>
        <w:tc>
          <w:tcPr>
            <w:tcW w:w="218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Sacristia e salas de apoio</w:t>
            </w:r>
          </w:p>
        </w:tc>
        <w:tc>
          <w:tcPr>
            <w:tcW w:w="190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4,93 m como envoltória conservadora</w:t>
            </w:r>
          </w:p>
        </w:tc>
        <w:tc>
          <w:tcPr>
            <w:tcW w:w="152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EPS LT20</w:t>
            </w:r>
          </w:p>
        </w:tc>
        <w:tc>
          <w:tcPr>
            <w:tcW w:w="304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Padronização de equipe e suprimentos.</w:t>
            </w:r>
          </w:p>
        </w:tc>
      </w:tr>
      <w:tr>
        <w:tc>
          <w:tcPr>
            <w:tcW w:w="855" w:type="dxa"/>
          </w:tcPr>
          <w:p>
            <w:r>
              <w:rPr>
                <w:color w:val="1F2937"/>
                <w:sz w:val="17"/>
                <w:szCs w:val="17"/>
              </w:rPr>
              <w:t xml:space="preserve">Z5</w:t>
            </w:r>
          </w:p>
        </w:tc>
        <w:tc>
          <w:tcPr>
            <w:tcW w:w="2185" w:type="dxa"/>
          </w:tcPr>
          <w:p>
            <w:r>
              <w:rPr>
                <w:color w:val="1F2937"/>
                <w:sz w:val="17"/>
                <w:szCs w:val="17"/>
              </w:rPr>
              <w:t xml:space="preserve">Sanitários, áreas molhadas e técnicas</w:t>
            </w:r>
          </w:p>
        </w:tc>
        <w:tc>
          <w:tcPr>
            <w:tcW w:w="1900" w:type="dxa"/>
          </w:tcPr>
          <w:p>
            <w:r>
              <w:rPr>
                <w:color w:val="1F2937"/>
                <w:sz w:val="17"/>
                <w:szCs w:val="17"/>
              </w:rPr>
              <w:t xml:space="preserve">4,93 m como envoltória conservadora</w:t>
            </w:r>
          </w:p>
        </w:tc>
        <w:tc>
          <w:tcPr>
            <w:tcW w:w="1520" w:type="dxa"/>
          </w:tcPr>
          <w:p>
            <w:r>
              <w:rPr>
                <w:color w:val="1F2937"/>
                <w:sz w:val="17"/>
                <w:szCs w:val="17"/>
              </w:rPr>
              <w:t xml:space="preserve">EPS LT20</w:t>
            </w:r>
          </w:p>
        </w:tc>
        <w:tc>
          <w:tcPr>
            <w:tcW w:w="3040" w:type="dxa"/>
          </w:tcPr>
          <w:p>
            <w:r>
              <w:rPr>
                <w:color w:val="1F2937"/>
                <w:sz w:val="17"/>
                <w:szCs w:val="17"/>
              </w:rPr>
              <w:t xml:space="preserve">Instalações e impermeabilização antes da concretagem.</w:t>
            </w:r>
          </w:p>
        </w:tc>
      </w:tr>
    </w:tbl>
    <w:p>
      <w:pPr>
        <w:pStyle w:val="Heading2"/>
      </w:pPr>
      <w:r>
        <w:t xml:space="preserve">3. Caracterização técnica dos quatro sistemas</w:t>
      </w:r>
    </w:p>
    <w:p>
      <w:pPr>
        <w:pStyle w:val="Heading2"/>
      </w:pPr>
      <w:r>
        <w:t xml:space="preserve">3.1 Pré-moldada com lajota cerâmica</w:t>
      </w:r>
    </w:p>
    <w:p>
      <w:pPr>
        <w:pStyle w:val="Normal"/>
      </w:pPr>
      <w:r>
        <w:t xml:space="preserve">Altura de comparação: 20 cm. Custo-base: R$ 202,39/m². Índice de mão de obra diretamente identificado: 0,747 HH/m².</w:t>
      </w:r>
    </w:p>
    <w:p>
      <w:pPr>
        <w:pStyle w:val="Normal"/>
      </w:pPr>
      <w:r>
        <w:t xml:space="preserve">• Como é feito: vigotas treliçadas pré-fabricadas, lajotas cerâmicas e capa de concreto moldada no local.</w:t>
      </w:r>
    </w:p>
    <w:p>
      <w:pPr>
        <w:pStyle w:val="Normal"/>
      </w:pPr>
      <w:r>
        <w:t xml:space="preserve">• Vantagens: Menor custo direto SINAPI; ampla disponibilidade; boa resistência ao fogo.</w:t>
      </w:r>
    </w:p>
    <w:p>
      <w:pPr>
        <w:pStyle w:val="Normal"/>
      </w:pPr>
      <w:r>
        <w:t xml:space="preserve">• Desvantagens: Maior peso e fragilidade de manuseio que o EPS; maior volume de concreto na composição.</w:t>
      </w:r>
    </w:p>
    <w:p>
      <w:pPr>
        <w:pStyle w:val="Heading2"/>
      </w:pPr>
      <w:r>
        <w:t xml:space="preserve">3.2 Pré-moldada com EPS</w:t>
      </w:r>
    </w:p>
    <w:p>
      <w:pPr>
        <w:pStyle w:val="Normal"/>
      </w:pPr>
      <w:r>
        <w:t xml:space="preserve">Altura de comparação: 20 cm. Custo-base: R$ 206,29/m². Índice de mão de obra diretamente identificado: 0,590 HH/m².</w:t>
      </w:r>
    </w:p>
    <w:p>
      <w:pPr>
        <w:pStyle w:val="Normal"/>
      </w:pPr>
      <w:r>
        <w:t xml:space="preserve">• Como é feito: vigotas treliçadas pré-fabricadas, blocos de EPS como enchimento não estrutural e capa de concreto.</w:t>
      </w:r>
    </w:p>
    <w:p>
      <w:pPr>
        <w:pStyle w:val="Normal"/>
      </w:pPr>
      <w:r>
        <w:t xml:space="preserve">• Vantagens: Baixo peso, fácil manuseio, menor consumo de concreto, bom desempenho térmico e boa produtividade.</w:t>
      </w:r>
    </w:p>
    <w:p>
      <w:pPr>
        <w:pStyle w:val="Normal"/>
      </w:pPr>
      <w:r>
        <w:t xml:space="preserve">• Desvantagens: Exige proteção do EPS, controle contra deslocamento e solução de acabamento compatível com incêndio/acústica.</w:t>
      </w:r>
    </w:p>
    <w:p>
      <w:pPr>
        <w:pStyle w:val="Heading2"/>
      </w:pPr>
      <w:r>
        <w:t xml:space="preserve">3.3 Nervurada com cubeta</w:t>
      </w:r>
    </w:p>
    <w:p>
      <w:pPr>
        <w:pStyle w:val="Normal"/>
      </w:pPr>
      <w:r>
        <w:t xml:space="preserve">Altura de comparação: ≈20 cm. Custo-base: ≈ R$ 243,31/m². Índice de mão de obra diretamente identificado: 0,879 HH/m² de fôrma.</w:t>
      </w:r>
    </w:p>
    <w:p>
      <w:pPr>
        <w:pStyle w:val="Normal"/>
      </w:pPr>
      <w:r>
        <w:t xml:space="preserve">• Como é feito: nervuras moldadas no local por meio de cubetas reaproveitáveis, com mesa superior de concreto.</w:t>
      </w:r>
    </w:p>
    <w:p>
      <w:pPr>
        <w:pStyle w:val="Normal"/>
      </w:pPr>
      <w:r>
        <w:t xml:space="preserve">• Vantagens: Boa eficiência estrutural e potencial para vãos maiores; cubetas reutilizáveis.</w:t>
      </w:r>
    </w:p>
    <w:p>
      <w:pPr>
        <w:pStyle w:val="Normal"/>
      </w:pPr>
      <w:r>
        <w:t xml:space="preserve">• Desvantagens: Maior complexidade de fôrmas e ciclo; benefício estrutural pouco aproveitado para 4,93 m.</w:t>
      </w:r>
    </w:p>
    <w:p>
      <w:pPr>
        <w:pStyle w:val="Heading2"/>
      </w:pPr>
      <w:r>
        <w:t xml:space="preserve">3.4 Maciça</w:t>
      </w:r>
    </w:p>
    <w:p>
      <w:pPr>
        <w:pStyle w:val="Normal"/>
      </w:pPr>
      <w:r>
        <w:t xml:space="preserve">Altura de comparação: 13 cm. Custo-base: ≈ R$ 277,29/m². Índice de mão de obra diretamente identificado: 0,945 HH/m² de fôrma.</w:t>
      </w:r>
    </w:p>
    <w:p>
      <w:pPr>
        <w:pStyle w:val="Normal"/>
      </w:pPr>
      <w:r>
        <w:t xml:space="preserve">• Como é feito: placa contínua de concreto armado moldada no local, com fôrma e cimbramento.</w:t>
      </w:r>
    </w:p>
    <w:p>
      <w:pPr>
        <w:pStyle w:val="Normal"/>
      </w:pPr>
      <w:r>
        <w:t xml:space="preserve">• Vantagens: Robusta, contínua e flexível para geometria/aberturas previstas em projeto.</w:t>
      </w:r>
    </w:p>
    <w:p>
      <w:pPr>
        <w:pStyle w:val="Normal"/>
      </w:pPr>
      <w:r>
        <w:t xml:space="preserve">• Desvantagens: Maior peso, concreto, aço, fôrma e custo no cenário analisado.</w:t>
      </w:r>
    </w:p>
    <w:p>
      <w:pPr>
        <w:pStyle w:val="Heading2"/>
      </w:pPr>
      <w:r>
        <w:t xml:space="preserve">4. Pré-dimensionamento indicativo</w:t>
      </w:r>
    </w:p>
    <w:p>
      <w:pPr>
        <w:pStyle w:val="Normal"/>
      </w:pPr>
      <w:r>
        <w:t xml:space="preserve">Aplicam-se as relações fornecidas no roteiro: L/25 a L/30 para lajes pré-moldadas e nervurada; L/40 para maciça. Os valores servem para comparação de anteprojeto e não substituem cálculo estrutural.</w:t>
      </w:r>
    </w:p>
    <w:tbl>
      <w:tblPr>
        <w:tblStyle w:val="TableGrid"/>
        <w:tblW w:w="0" w:type="auto"/>
      </w:tblPr>
      <w:tr>
        <w:tc>
          <w:tcPr>
            <w:tcW w:w="237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Relação</w:t>
            </w:r>
          </w:p>
        </w:tc>
        <w:tc>
          <w:tcPr>
            <w:tcW w:w="332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w="380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L/25</w:t>
            </w:r>
          </w:p>
        </w:tc>
        <w:tc>
          <w:tcPr>
            <w:tcW w:w="3325" w:type="dxa"/>
          </w:tcPr>
          <w:p>
            <w:r>
              <w:rPr>
                <w:color w:val="1F2937"/>
                <w:sz w:val="17"/>
                <w:szCs w:val="17"/>
              </w:rPr>
              <w:t xml:space="preserve">4,93/25</w:t>
            </w:r>
          </w:p>
        </w:tc>
        <w:tc>
          <w:tcPr>
            <w:tcW w:w="3800" w:type="dxa"/>
          </w:tcPr>
          <w:p>
            <w:r>
              <w:rPr>
                <w:color w:val="1F2937"/>
                <w:sz w:val="17"/>
                <w:szCs w:val="17"/>
              </w:rPr>
              <w:t xml:space="preserve">19,72 cm</w:t>
            </w:r>
          </w:p>
        </w:tc>
      </w:tr>
      <w:tr>
        <w:tc>
          <w:tcPr>
            <w:tcW w:w="237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L/30</w:t>
            </w:r>
          </w:p>
        </w:tc>
        <w:tc>
          <w:tcPr>
            <w:tcW w:w="332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4,93/30</w:t>
            </w:r>
          </w:p>
        </w:tc>
        <w:tc>
          <w:tcPr>
            <w:tcW w:w="380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16,43 cm</w:t>
            </w:r>
          </w:p>
        </w:tc>
      </w:tr>
      <w:tr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L/40</w:t>
            </w:r>
          </w:p>
        </w:tc>
        <w:tc>
          <w:tcPr>
            <w:tcW w:w="3325" w:type="dxa"/>
          </w:tcPr>
          <w:p>
            <w:r>
              <w:rPr>
                <w:color w:val="1F2937"/>
                <w:sz w:val="17"/>
                <w:szCs w:val="17"/>
              </w:rPr>
              <w:t xml:space="preserve">4,93/40</w:t>
            </w:r>
          </w:p>
        </w:tc>
        <w:tc>
          <w:tcPr>
            <w:tcW w:w="3800" w:type="dxa"/>
          </w:tcPr>
          <w:p>
            <w:r>
              <w:rPr>
                <w:color w:val="1F2937"/>
                <w:sz w:val="17"/>
                <w:szCs w:val="17"/>
              </w:rPr>
              <w:t xml:space="preserve">12,33 cm</w:t>
            </w:r>
          </w:p>
        </w:tc>
      </w:tr>
    </w:tbl>
    <w:tbl>
      <w:tblPr>
        <w:tblStyle w:val="TableGrid"/>
        <w:tblW w:w="0" w:type="auto"/>
      </w:tblPr>
      <w:tr>
        <w:tc>
          <w:tcPr>
            <w:tcW w:w="237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w="237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Altura adotada</w:t>
            </w:r>
          </w:p>
        </w:tc>
        <w:tc>
          <w:tcPr>
            <w:tcW w:w="475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Leitura de viabilidade</w:t>
            </w:r>
          </w:p>
        </w:tc>
      </w:tr>
      <w:tr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Cerâmica</w:t>
            </w:r>
          </w:p>
        </w:tc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LT=20 cm (16+4)</w:t>
            </w:r>
          </w:p>
        </w:tc>
        <w:tc>
          <w:tcPr>
            <w:tcW w:w="4750" w:type="dxa"/>
          </w:tcPr>
          <w:p>
            <w:r>
              <w:rPr>
                <w:color w:val="1F2937"/>
                <w:sz w:val="17"/>
                <w:szCs w:val="17"/>
              </w:rPr>
              <w:t xml:space="preserve">Compatível como anteprojeto; vigota deve ser especificada para a carga real.</w:t>
            </w:r>
          </w:p>
        </w:tc>
      </w:tr>
      <w:tr>
        <w:tc>
          <w:tcPr>
            <w:tcW w:w="237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EPS</w:t>
            </w:r>
          </w:p>
        </w:tc>
        <w:tc>
          <w:tcPr>
            <w:tcW w:w="237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LT=20 cm (16+4)</w:t>
            </w:r>
          </w:p>
        </w:tc>
        <w:tc>
          <w:tcPr>
            <w:tcW w:w="475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Compatível como anteprojeto; vigota deve ser especificada para a carga real.</w:t>
            </w:r>
          </w:p>
        </w:tc>
      </w:tr>
      <w:tr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Nervurada</w:t>
            </w:r>
          </w:p>
        </w:tc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≈20 cm</w:t>
            </w:r>
          </w:p>
        </w:tc>
        <w:tc>
          <w:tcPr>
            <w:tcW w:w="4750" w:type="dxa"/>
          </w:tcPr>
          <w:p>
            <w:r>
              <w:rPr>
                <w:color w:val="1F2937"/>
                <w:sz w:val="17"/>
                <w:szCs w:val="17"/>
              </w:rPr>
              <w:t xml:space="preserve">Viável; solução estruturalmente mais sofisticada que o necessário para 4,93 m.</w:t>
            </w:r>
          </w:p>
        </w:tc>
      </w:tr>
      <w:tr>
        <w:tc>
          <w:tcPr>
            <w:tcW w:w="237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Maciça</w:t>
            </w:r>
          </w:p>
        </w:tc>
        <w:tc>
          <w:tcPr>
            <w:tcW w:w="237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13 cm</w:t>
            </w:r>
          </w:p>
        </w:tc>
        <w:tc>
          <w:tcPr>
            <w:tcW w:w="475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Viável como anteprojeto; penalizada por peso e custo.</w:t>
            </w:r>
          </w:p>
        </w:tc>
      </w:tr>
    </w:tbl>
    <w:p>
      <w:pPr>
        <w:pStyle w:val="Heading2"/>
      </w:pPr>
      <w:r>
        <w:t xml:space="preserve">5. Viabilidade econômica - base SINAPI</w:t>
      </w:r>
    </w:p>
    <w:p>
      <w:pPr>
        <w:pStyle w:val="Normal"/>
      </w:pPr>
      <w:r>
        <w:t xml:space="preserve">A comparação econômica utiliza exclusivamente o SINAPI para manter a mesma data-base, regime de encargos e metodologia. Nos sistemas pré-moldados existem composições completas equivalentes; nervurada e maciça são estimativas paramétricas por soma de itens SINAPI, com hipóteses claramente indicadas.</w:t>
      </w:r>
    </w:p>
    <w:tbl>
      <w:tblPr>
        <w:tblStyle w:val="TableGrid"/>
        <w:tblW w:w="0" w:type="auto"/>
      </w:tblPr>
      <w:tr>
        <w:tc>
          <w:tcPr>
            <w:tcW w:w="209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w="285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Referência</w:t>
            </w:r>
          </w:p>
        </w:tc>
        <w:tc>
          <w:tcPr>
            <w:tcW w:w="171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Custo direto</w:t>
            </w:r>
          </w:p>
        </w:tc>
        <w:tc>
          <w:tcPr>
            <w:tcW w:w="142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100 m²</w:t>
            </w:r>
          </w:p>
        </w:tc>
        <w:tc>
          <w:tcPr>
            <w:tcW w:w="142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Diferença para o menor</w:t>
            </w:r>
          </w:p>
        </w:tc>
      </w:tr>
      <w:tr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Cerâmica</w:t>
            </w:r>
          </w:p>
        </w:tc>
        <w:tc>
          <w:tcPr>
            <w:tcW w:w="2850" w:type="dxa"/>
          </w:tcPr>
          <w:p>
            <w:r>
              <w:rPr>
                <w:color w:val="1F2937"/>
                <w:sz w:val="17"/>
                <w:szCs w:val="17"/>
              </w:rPr>
              <w:t xml:space="preserve">SINAPI 101949</w:t>
            </w:r>
          </w:p>
        </w:tc>
        <w:tc>
          <w:tcPr>
            <w:tcW w:w="1710" w:type="dxa"/>
          </w:tcPr>
          <w:p>
            <w:r>
              <w:rPr>
                <w:color w:val="1F2937"/>
                <w:sz w:val="17"/>
                <w:szCs w:val="17"/>
              </w:rPr>
              <w:t xml:space="preserve">R$ 202,39/m²</w:t>
            </w:r>
          </w:p>
        </w:tc>
        <w:tc>
          <w:tcPr>
            <w:tcW w:w="1425" w:type="dxa"/>
          </w:tcPr>
          <w:p>
            <w:r>
              <w:rPr>
                <w:color w:val="1F2937"/>
                <w:sz w:val="17"/>
                <w:szCs w:val="17"/>
              </w:rPr>
              <w:t xml:space="preserve">R$ 20.239</w:t>
            </w:r>
          </w:p>
        </w:tc>
        <w:tc>
          <w:tcPr>
            <w:tcW w:w="1425" w:type="dxa"/>
          </w:tcPr>
          <w:p>
            <w:r>
              <w:rPr>
                <w:color w:val="1F2937"/>
                <w:sz w:val="17"/>
                <w:szCs w:val="17"/>
              </w:rPr>
              <w:t xml:space="preserve">0%</w:t>
            </w:r>
          </w:p>
        </w:tc>
      </w:tr>
      <w:tr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EPS</w:t>
            </w:r>
          </w:p>
        </w:tc>
        <w:tc>
          <w:tcPr>
            <w:tcW w:w="285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SINAPI 101953</w:t>
            </w:r>
          </w:p>
        </w:tc>
        <w:tc>
          <w:tcPr>
            <w:tcW w:w="171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R$ 206,29/m²</w:t>
            </w:r>
          </w:p>
        </w:tc>
        <w:tc>
          <w:tcPr>
            <w:tcW w:w="142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R$ 20.629</w:t>
            </w:r>
          </w:p>
        </w:tc>
        <w:tc>
          <w:tcPr>
            <w:tcW w:w="142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+1,9%</w:t>
            </w:r>
          </w:p>
        </w:tc>
      </w:tr>
      <w:tr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Nervurada</w:t>
            </w:r>
          </w:p>
        </w:tc>
        <w:tc>
          <w:tcPr>
            <w:tcW w:w="2850" w:type="dxa"/>
          </w:tcPr>
          <w:p>
            <w:r>
              <w:rPr>
                <w:color w:val="1F2937"/>
                <w:sz w:val="17"/>
                <w:szCs w:val="17"/>
              </w:rPr>
              <w:t xml:space="preserve">92506 + 103675 + 92770</w:t>
            </w:r>
          </w:p>
        </w:tc>
        <w:tc>
          <w:tcPr>
            <w:tcW w:w="1710" w:type="dxa"/>
          </w:tcPr>
          <w:p>
            <w:r>
              <w:rPr>
                <w:color w:val="1F2937"/>
                <w:sz w:val="17"/>
                <w:szCs w:val="17"/>
              </w:rPr>
              <w:t xml:space="preserve">≈ R$ 243,31/m²</w:t>
            </w:r>
          </w:p>
        </w:tc>
        <w:tc>
          <w:tcPr>
            <w:tcW w:w="1425" w:type="dxa"/>
          </w:tcPr>
          <w:p>
            <w:r>
              <w:rPr>
                <w:color w:val="1F2937"/>
                <w:sz w:val="17"/>
                <w:szCs w:val="17"/>
              </w:rPr>
              <w:t xml:space="preserve">≈ R$ 24.331</w:t>
            </w:r>
          </w:p>
        </w:tc>
        <w:tc>
          <w:tcPr>
            <w:tcW w:w="1425" w:type="dxa"/>
          </w:tcPr>
          <w:p>
            <w:r>
              <w:rPr>
                <w:color w:val="1F2937"/>
                <w:sz w:val="17"/>
                <w:szCs w:val="17"/>
              </w:rPr>
              <w:t xml:space="preserve">+20,2%</w:t>
            </w:r>
          </w:p>
        </w:tc>
      </w:tr>
      <w:tr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Maciça</w:t>
            </w:r>
          </w:p>
        </w:tc>
        <w:tc>
          <w:tcPr>
            <w:tcW w:w="285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103763 + 103675 + 92770</w:t>
            </w:r>
          </w:p>
        </w:tc>
        <w:tc>
          <w:tcPr>
            <w:tcW w:w="171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≈ R$ 277,29/m²</w:t>
            </w:r>
          </w:p>
        </w:tc>
        <w:tc>
          <w:tcPr>
            <w:tcW w:w="142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≈ R$ 27.729</w:t>
            </w:r>
          </w:p>
        </w:tc>
        <w:tc>
          <w:tcPr>
            <w:tcW w:w="142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+37,0%</w:t>
            </w:r>
          </w:p>
        </w:tc>
      </w:tr>
    </w:tbl>
    <w:p>
      <w:pPr>
        <w:pStyle w:val="Heading2"/>
      </w:pPr>
      <w:r>
        <w:t xml:space="preserve">5.1 Materiais / consumíveis</w:t>
      </w:r>
    </w:p>
    <w:tbl>
      <w:tblPr>
        <w:tblStyle w:val="TableGrid"/>
        <w:tblW w:w="0" w:type="auto"/>
      </w:tblPr>
      <w:tr>
        <w:tc>
          <w:tcPr>
            <w:tcW w:w="190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w="190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Concreto</w:t>
            </w:r>
          </w:p>
        </w:tc>
        <w:tc>
          <w:tcPr>
            <w:tcW w:w="256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Aço / armação</w:t>
            </w:r>
          </w:p>
        </w:tc>
        <w:tc>
          <w:tcPr>
            <w:tcW w:w="313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Elemento/fôrma</w:t>
            </w:r>
          </w:p>
        </w:tc>
      </w:tr>
      <w:tr>
        <w:tc>
          <w:tcPr>
            <w:tcW w:w="1900" w:type="dxa"/>
          </w:tcPr>
          <w:p>
            <w:r>
              <w:rPr>
                <w:color w:val="1F2937"/>
                <w:sz w:val="17"/>
                <w:szCs w:val="17"/>
              </w:rPr>
              <w:t xml:space="preserve">Cerâmica</w:t>
            </w:r>
          </w:p>
        </w:tc>
        <w:tc>
          <w:tcPr>
            <w:tcW w:w="1900" w:type="dxa"/>
          </w:tcPr>
          <w:p>
            <w:r>
              <w:rPr>
                <w:color w:val="1F2937"/>
                <w:sz w:val="17"/>
                <w:szCs w:val="17"/>
              </w:rPr>
              <w:t xml:space="preserve">0,073 m³/m²</w:t>
            </w:r>
          </w:p>
        </w:tc>
        <w:tc>
          <w:tcPr>
            <w:tcW w:w="2565" w:type="dxa"/>
          </w:tcPr>
          <w:p>
            <w:r>
              <w:rPr>
                <w:color w:val="1F2937"/>
                <w:sz w:val="17"/>
                <w:szCs w:val="17"/>
              </w:rPr>
              <w:t xml:space="preserve">1,185 kg/m² CA-60 de distribuição</w:t>
            </w:r>
          </w:p>
        </w:tc>
        <w:tc>
          <w:tcPr>
            <w:tcW w:w="3135" w:type="dxa"/>
          </w:tcPr>
          <w:p>
            <w:r>
              <w:rPr>
                <w:color w:val="1F2937"/>
                <w:sz w:val="17"/>
                <w:szCs w:val="17"/>
              </w:rPr>
              <w:t xml:space="preserve">Vigota + lajota cerâmica LT20; escoramento</w:t>
            </w:r>
          </w:p>
        </w:tc>
      </w:tr>
      <w:tr>
        <w:tc>
          <w:tcPr>
            <w:tcW w:w="190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EPS</w:t>
            </w:r>
          </w:p>
        </w:tc>
        <w:tc>
          <w:tcPr>
            <w:tcW w:w="190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0,068 m³/m²</w:t>
            </w:r>
          </w:p>
        </w:tc>
        <w:tc>
          <w:tcPr>
            <w:tcW w:w="256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1,185 kg/m² CA-60 de distribuição</w:t>
            </w:r>
          </w:p>
        </w:tc>
        <w:tc>
          <w:tcPr>
            <w:tcW w:w="31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Vigota + EPS LT20; escoramento</w:t>
            </w:r>
          </w:p>
        </w:tc>
      </w:tr>
      <w:tr>
        <w:tc>
          <w:tcPr>
            <w:tcW w:w="1900" w:type="dxa"/>
          </w:tcPr>
          <w:p>
            <w:r>
              <w:rPr>
                <w:color w:val="1F2937"/>
                <w:sz w:val="17"/>
                <w:szCs w:val="17"/>
              </w:rPr>
              <w:t xml:space="preserve">Nervurada</w:t>
            </w:r>
          </w:p>
        </w:tc>
        <w:tc>
          <w:tcPr>
            <w:tcW w:w="1900" w:type="dxa"/>
          </w:tcPr>
          <w:p>
            <w:r>
              <w:rPr>
                <w:color w:val="1F2937"/>
                <w:sz w:val="17"/>
                <w:szCs w:val="17"/>
              </w:rPr>
              <w:t xml:space="preserve">0,100 m³/m² - premissa</w:t>
            </w:r>
          </w:p>
        </w:tc>
        <w:tc>
          <w:tcPr>
            <w:tcW w:w="2565" w:type="dxa"/>
          </w:tcPr>
          <w:p>
            <w:r>
              <w:rPr>
                <w:color w:val="1F2937"/>
                <w:sz w:val="17"/>
                <w:szCs w:val="17"/>
              </w:rPr>
              <w:t xml:space="preserve">9,0 kg/m² - premissa</w:t>
            </w:r>
          </w:p>
        </w:tc>
        <w:tc>
          <w:tcPr>
            <w:tcW w:w="3135" w:type="dxa"/>
          </w:tcPr>
          <w:p>
            <w:r>
              <w:rPr>
                <w:color w:val="1F2937"/>
                <w:sz w:val="17"/>
                <w:szCs w:val="17"/>
              </w:rPr>
              <w:t xml:space="preserve">Cubeta + assoalho; SINAPI 92506</w:t>
            </w:r>
          </w:p>
        </w:tc>
      </w:tr>
      <w:tr>
        <w:tc>
          <w:tcPr>
            <w:tcW w:w="190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Maciça</w:t>
            </w:r>
          </w:p>
        </w:tc>
        <w:tc>
          <w:tcPr>
            <w:tcW w:w="190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0,130 m³/m²</w:t>
            </w:r>
          </w:p>
        </w:tc>
        <w:tc>
          <w:tcPr>
            <w:tcW w:w="256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10,0 kg/m² - premissa</w:t>
            </w:r>
          </w:p>
        </w:tc>
        <w:tc>
          <w:tcPr>
            <w:tcW w:w="31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Fôrma/cimbramento; SINAPI 103763</w:t>
            </w:r>
          </w:p>
        </w:tc>
      </w:tr>
    </w:tbl>
    <w:p>
      <w:pPr>
        <w:pStyle w:val="Heading2"/>
      </w:pPr>
      <w:r>
        <w:t xml:space="preserve">5.2 Serviços / mão de obra</w:t>
      </w:r>
    </w:p>
    <w:tbl>
      <w:tblPr>
        <w:tblStyle w:val="TableGrid"/>
        <w:tblW w:w="0" w:type="auto"/>
      </w:tblPr>
      <w:tr>
        <w:tc>
          <w:tcPr>
            <w:tcW w:w="218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w="209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HH de referência</w:t>
            </w:r>
          </w:p>
        </w:tc>
        <w:tc>
          <w:tcPr>
            <w:tcW w:w="522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Interpretação</w:t>
            </w:r>
          </w:p>
        </w:tc>
      </w:tr>
      <w:tr>
        <w:tc>
          <w:tcPr>
            <w:tcW w:w="2185" w:type="dxa"/>
          </w:tcPr>
          <w:p>
            <w:r>
              <w:rPr>
                <w:color w:val="1F2937"/>
                <w:sz w:val="17"/>
                <w:szCs w:val="17"/>
              </w:rPr>
              <w:t xml:space="preserve">Cerâmica</w:t>
            </w:r>
          </w:p>
        </w:tc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0,747 HH/m²</w:t>
            </w:r>
          </w:p>
        </w:tc>
        <w:tc>
          <w:tcPr>
            <w:tcW w:w="5225" w:type="dxa"/>
          </w:tcPr>
          <w:p>
            <w:r>
              <w:rPr>
                <w:color w:val="1F2937"/>
                <w:sz w:val="17"/>
                <w:szCs w:val="17"/>
              </w:rPr>
              <w:t xml:space="preserve">0,427 h carpinteiro + 0,320 h servente na composição completa.</w:t>
            </w:r>
          </w:p>
        </w:tc>
      </w:tr>
      <w:tr>
        <w:tc>
          <w:tcPr>
            <w:tcW w:w="218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EPS</w:t>
            </w:r>
          </w:p>
        </w:tc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0,590 HH/m²</w:t>
            </w:r>
          </w:p>
        </w:tc>
        <w:tc>
          <w:tcPr>
            <w:tcW w:w="522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0,337 h carpinteiro + 0,253 h servente na composição completa.</w:t>
            </w:r>
          </w:p>
        </w:tc>
      </w:tr>
      <w:tr>
        <w:tc>
          <w:tcPr>
            <w:tcW w:w="2185" w:type="dxa"/>
          </w:tcPr>
          <w:p>
            <w:r>
              <w:rPr>
                <w:color w:val="1F2937"/>
                <w:sz w:val="17"/>
                <w:szCs w:val="17"/>
              </w:rPr>
              <w:t xml:space="preserve">Nervurada</w:t>
            </w:r>
          </w:p>
        </w:tc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0,879 HH/m² de fôrma</w:t>
            </w:r>
          </w:p>
        </w:tc>
        <w:tc>
          <w:tcPr>
            <w:tcW w:w="5225" w:type="dxa"/>
          </w:tcPr>
          <w:p>
            <w:r>
              <w:rPr>
                <w:color w:val="1F2937"/>
                <w:sz w:val="17"/>
                <w:szCs w:val="17"/>
              </w:rPr>
              <w:t xml:space="preserve">0,743 h carpinteiro + 0,136 h ajudante; não representa o ciclo inteiro.</w:t>
            </w:r>
          </w:p>
        </w:tc>
      </w:tr>
      <w:tr>
        <w:tc>
          <w:tcPr>
            <w:tcW w:w="218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Maciça</w:t>
            </w:r>
          </w:p>
        </w:tc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0,945 HH/m² de fôrma</w:t>
            </w:r>
          </w:p>
        </w:tc>
        <w:tc>
          <w:tcPr>
            <w:tcW w:w="522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0,799 h carpinteiro + 0,146 h ajudante; não representa o ciclo inteiro.</w:t>
            </w:r>
          </w:p>
        </w:tc>
      </w:tr>
    </w:tbl>
    <w:p>
      <w:pPr>
        <w:pStyle w:val="Heading2"/>
      </w:pPr>
      <w:r>
        <w:t xml:space="preserve">6. Comparação de prazo e construtibilidade</w:t>
      </w:r>
    </w:p>
    <w:p>
      <w:pPr>
        <w:pStyle w:val="Normal"/>
      </w:pPr>
      <w:r>
        <w:t xml:space="preserve">Em um módulo de 100 m² e equipe equivalente a dois trabalhadores produtivos de 8 h/dia, a parcela de HH comparável indica cerca de 4,7 dias-equipe para cerâmica e 3,7 dias-equipe para EPS. O cálculo não inclui o ciclo completo de cura e desescoramento. O ganho do EPS está associado ao baixo peso dos blocos, menor esforço de movimentação e menor índice de mão de obra da composição.</w:t>
      </w:r>
    </w:p>
    <w:p>
      <w:pPr>
        <w:pStyle w:val="Normal"/>
      </w:pPr>
      <w:r>
        <w:t xml:space="preserve">A nervurada e a maciça exigem maior preparação de fôrmas e cimbramento. Para o vão crítico de 4,93 m, esse esforço adicional não produz benefício econômico suficiente para superar as soluções pré-moldadas.</w:t>
      </w:r>
    </w:p>
    <w:p>
      <w:pPr>
        <w:pStyle w:val="Heading2"/>
      </w:pPr>
      <w:r>
        <w:t xml:space="preserve">7. Estimativa da carga da região mais solicitada</w:t>
      </w:r>
    </w:p>
    <w:p>
      <w:pPr>
        <w:pStyle w:val="Normal"/>
      </w:pPr>
      <w:r>
        <w:t xml:space="preserve">Apenas para ordem de grandeza em serviço, adota-se 4,0 kN/m² de cargas permanentes preliminares e 5,0 kN/m² de carga variável conservadora para área de reunião, totalizando 9,0 kN/m². Admitindo uma viga interna recebendo faixa tributária de 4,93 m, a laje transmite aproximadamente 9,0 x 4,93 = 44,37 kN/m.</w:t>
      </w:r>
    </w:p>
    <w:p>
      <w:pPr>
        <w:pStyle w:val="Normal"/>
      </w:pPr>
      <w:r>
        <w:t xml:space="preserve">Somando 2,50 kN/m como peso próprio preliminar de uma viga 20 x 50 cm em concreto, chega-se a aproximadamente 46,87 kN/m. Em 4,93 m, a resultante distribuída é da ordem de 231 kN. O valor não contém combinações ELU/ELS e não deve ser empregado em dimensionamento; largura tributária, seção e cargas finais devem ser confirmadas.</w:t>
      </w:r>
    </w:p>
    <w:p>
      <w:pPr>
        <w:pStyle w:val="Heading2"/>
      </w:pPr>
      <w:r>
        <w:t xml:space="preserve">8. Critérios e pesos</w:t>
      </w:r>
    </w:p>
    <w:tbl>
      <w:tblPr>
        <w:tblStyle w:val="TableGrid"/>
        <w:tblW w:w="0" w:type="auto"/>
      </w:tblPr>
      <w:tr>
        <w:tc>
          <w:tcPr>
            <w:tcW w:w="741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w="209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w="7410" w:type="dxa"/>
          </w:tcPr>
          <w:p>
            <w:r>
              <w:rPr>
                <w:color w:val="1F2937"/>
                <w:sz w:val="17"/>
                <w:szCs w:val="17"/>
              </w:rPr>
              <w:t xml:space="preserve">Adequação estrutural (vãos e cargas)</w:t>
            </w:r>
          </w:p>
        </w:tc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18%</w:t>
            </w:r>
          </w:p>
        </w:tc>
      </w:tr>
      <w:tr>
        <w:tc>
          <w:tcPr>
            <w:tcW w:w="741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Peso próprio / impacto na estrutura</w:t>
            </w:r>
          </w:p>
        </w:tc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10%</w:t>
            </w:r>
          </w:p>
        </w:tc>
      </w:tr>
      <w:tr>
        <w:tc>
          <w:tcPr>
            <w:tcW w:w="7410" w:type="dxa"/>
          </w:tcPr>
          <w:p>
            <w:r>
              <w:rPr>
                <w:color w:val="1F2937"/>
                <w:sz w:val="17"/>
                <w:szCs w:val="17"/>
              </w:rPr>
              <w:t xml:space="preserve">Custo total (R$/m²)</w:t>
            </w:r>
          </w:p>
        </w:tc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18%</w:t>
            </w:r>
          </w:p>
        </w:tc>
      </w:tr>
      <w:tr>
        <w:tc>
          <w:tcPr>
            <w:tcW w:w="741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Prazo de execução</w:t>
            </w:r>
          </w:p>
        </w:tc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12%</w:t>
            </w:r>
          </w:p>
        </w:tc>
      </w:tr>
      <w:tr>
        <w:tc>
          <w:tcPr>
            <w:tcW w:w="7410" w:type="dxa"/>
          </w:tcPr>
          <w:p>
            <w:r>
              <w:rPr>
                <w:color w:val="1F2937"/>
                <w:sz w:val="17"/>
                <w:szCs w:val="17"/>
              </w:rPr>
              <w:t xml:space="preserve">Fôrmas e escoramento</w:t>
            </w:r>
          </w:p>
        </w:tc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6%</w:t>
            </w:r>
          </w:p>
        </w:tc>
      </w:tr>
      <w:tr>
        <w:tc>
          <w:tcPr>
            <w:tcW w:w="741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Mão de obra</w:t>
            </w:r>
          </w:p>
        </w:tc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</w:tr>
      <w:tr>
        <w:tc>
          <w:tcPr>
            <w:tcW w:w="7410" w:type="dxa"/>
          </w:tcPr>
          <w:p>
            <w:r>
              <w:rPr>
                <w:color w:val="1F2937"/>
                <w:sz w:val="17"/>
                <w:szCs w:val="17"/>
              </w:rPr>
              <w:t xml:space="preserve">Construtibilidade / logística</w:t>
            </w:r>
          </w:p>
        </w:tc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6%</w:t>
            </w:r>
          </w:p>
        </w:tc>
      </w:tr>
      <w:tr>
        <w:tc>
          <w:tcPr>
            <w:tcW w:w="741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Compatibilização com instalações</w:t>
            </w:r>
          </w:p>
        </w:tc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</w:tr>
      <w:tr>
        <w:tc>
          <w:tcPr>
            <w:tcW w:w="7410" w:type="dxa"/>
          </w:tcPr>
          <w:p>
            <w:r>
              <w:rPr>
                <w:color w:val="1F2937"/>
                <w:sz w:val="17"/>
                <w:szCs w:val="17"/>
              </w:rPr>
              <w:t xml:space="preserve">Desempenho térmico e acústico</w:t>
            </w:r>
          </w:p>
        </w:tc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</w:tr>
      <w:tr>
        <w:tc>
          <w:tcPr>
            <w:tcW w:w="741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Segurança contra incêndio</w:t>
            </w:r>
          </w:p>
        </w:tc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</w:tr>
      <w:tr>
        <w:tc>
          <w:tcPr>
            <w:tcW w:w="7410" w:type="dxa"/>
          </w:tcPr>
          <w:p>
            <w:r>
              <w:rPr>
                <w:color w:val="1F2937"/>
                <w:sz w:val="17"/>
                <w:szCs w:val="17"/>
              </w:rPr>
              <w:t xml:space="preserve">Sustentabilidade / resíduos</w:t>
            </w:r>
          </w:p>
        </w:tc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</w:tr>
      <w:tr>
        <w:tc>
          <w:tcPr>
            <w:tcW w:w="741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Disponibilidade de fornecedores no DF</w:t>
            </w:r>
          </w:p>
        </w:tc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</w:tr>
      <w:tr>
        <w:tc>
          <w:tcPr>
            <w:tcW w:w="7410" w:type="dxa"/>
          </w:tcPr>
          <w:p>
            <w:r>
              <w:rPr>
                <w:color w:val="1F2937"/>
                <w:sz w:val="17"/>
                <w:szCs w:val="17"/>
              </w:rPr>
              <w:t xml:space="preserve">TOTAL</w:t>
            </w:r>
          </w:p>
        </w:tc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100%</w:t>
            </w:r>
          </w:p>
        </w:tc>
      </w:tr>
    </w:tbl>
    <w:p>
      <w:pPr>
        <w:pStyle w:val="Normal"/>
      </w:pPr>
      <w:r>
        <w:t xml:space="preserve">Os maiores pesos são atribuídos à adequação estrutural e ao custo, seguidos pelo prazo. A opção reflete o foco do exercício em viabilidade econômica sem eliminar desempenho, logística, mão de obra e segurança.</w:t>
      </w:r>
    </w:p>
    <w:p>
      <w:pPr>
        <w:pStyle w:val="Heading2"/>
      </w:pPr>
      <w:r>
        <w:t xml:space="preserve">9. Matriz multicritério</w:t>
      </w:r>
    </w:p>
    <w:tbl>
      <w:tblPr>
        <w:tblStyle w:val="TableGrid"/>
        <w:tblW w:w="0" w:type="auto"/>
      </w:tblPr>
      <w:tr>
        <w:tc>
          <w:tcPr>
            <w:tcW w:w="370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w="85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w="123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Cerâmica</w:t>
            </w:r>
          </w:p>
        </w:tc>
        <w:tc>
          <w:tcPr>
            <w:tcW w:w="123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EPS</w:t>
            </w:r>
          </w:p>
        </w:tc>
        <w:tc>
          <w:tcPr>
            <w:tcW w:w="123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Nervurada</w:t>
            </w:r>
          </w:p>
        </w:tc>
        <w:tc>
          <w:tcPr>
            <w:tcW w:w="123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Maciça</w:t>
            </w:r>
          </w:p>
        </w:tc>
      </w:tr>
      <w:tr>
        <w:tc>
          <w:tcPr>
            <w:tcW w:w="3705" w:type="dxa"/>
          </w:tcPr>
          <w:p>
            <w:r>
              <w:rPr>
                <w:color w:val="1F2937"/>
                <w:sz w:val="17"/>
                <w:szCs w:val="17"/>
              </w:rPr>
              <w:t xml:space="preserve">Adequação estrutural (vãos e cargas)</w:t>
            </w:r>
          </w:p>
        </w:tc>
        <w:tc>
          <w:tcPr>
            <w:tcW w:w="855" w:type="dxa"/>
          </w:tcPr>
          <w:p>
            <w:r>
              <w:rPr>
                <w:color w:val="1F2937"/>
                <w:sz w:val="17"/>
                <w:szCs w:val="17"/>
              </w:rPr>
              <w:t xml:space="preserve">18%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w="370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Peso próprio / impacto na estrutura</w:t>
            </w:r>
          </w:p>
        </w:tc>
        <w:tc>
          <w:tcPr>
            <w:tcW w:w="85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10%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w="3705" w:type="dxa"/>
          </w:tcPr>
          <w:p>
            <w:r>
              <w:rPr>
                <w:color w:val="1F2937"/>
                <w:sz w:val="17"/>
                <w:szCs w:val="17"/>
              </w:rPr>
              <w:t xml:space="preserve">Custo total (R$/m²)</w:t>
            </w:r>
          </w:p>
        </w:tc>
        <w:tc>
          <w:tcPr>
            <w:tcW w:w="855" w:type="dxa"/>
          </w:tcPr>
          <w:p>
            <w:r>
              <w:rPr>
                <w:color w:val="1F2937"/>
                <w:sz w:val="17"/>
                <w:szCs w:val="17"/>
              </w:rPr>
              <w:t xml:space="preserve">18%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w="370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Prazo de execução</w:t>
            </w:r>
          </w:p>
        </w:tc>
        <w:tc>
          <w:tcPr>
            <w:tcW w:w="85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12%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w="3705" w:type="dxa"/>
          </w:tcPr>
          <w:p>
            <w:r>
              <w:rPr>
                <w:color w:val="1F2937"/>
                <w:sz w:val="17"/>
                <w:szCs w:val="17"/>
              </w:rPr>
              <w:t xml:space="preserve">Fôrmas e escoramento</w:t>
            </w:r>
          </w:p>
        </w:tc>
        <w:tc>
          <w:tcPr>
            <w:tcW w:w="855" w:type="dxa"/>
          </w:tcPr>
          <w:p>
            <w:r>
              <w:rPr>
                <w:color w:val="1F2937"/>
                <w:sz w:val="17"/>
                <w:szCs w:val="17"/>
              </w:rPr>
              <w:t xml:space="preserve">6%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w="370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Mão de obra</w:t>
            </w:r>
          </w:p>
        </w:tc>
        <w:tc>
          <w:tcPr>
            <w:tcW w:w="85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w="3705" w:type="dxa"/>
          </w:tcPr>
          <w:p>
            <w:r>
              <w:rPr>
                <w:color w:val="1F2937"/>
                <w:sz w:val="17"/>
                <w:szCs w:val="17"/>
              </w:rPr>
              <w:t xml:space="preserve">Construtibilidade / logística</w:t>
            </w:r>
          </w:p>
        </w:tc>
        <w:tc>
          <w:tcPr>
            <w:tcW w:w="855" w:type="dxa"/>
          </w:tcPr>
          <w:p>
            <w:r>
              <w:rPr>
                <w:color w:val="1F2937"/>
                <w:sz w:val="17"/>
                <w:szCs w:val="17"/>
              </w:rPr>
              <w:t xml:space="preserve">6%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w="370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Compatibilização com instalações</w:t>
            </w:r>
          </w:p>
        </w:tc>
        <w:tc>
          <w:tcPr>
            <w:tcW w:w="85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w="3705" w:type="dxa"/>
          </w:tcPr>
          <w:p>
            <w:r>
              <w:rPr>
                <w:color w:val="1F2937"/>
                <w:sz w:val="17"/>
                <w:szCs w:val="17"/>
              </w:rPr>
              <w:t xml:space="preserve">Desempenho térmico e acústico</w:t>
            </w:r>
          </w:p>
        </w:tc>
        <w:tc>
          <w:tcPr>
            <w:tcW w:w="855" w:type="dxa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w="370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Segurança contra incêndio</w:t>
            </w:r>
          </w:p>
        </w:tc>
        <w:tc>
          <w:tcPr>
            <w:tcW w:w="85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w="3705" w:type="dxa"/>
          </w:tcPr>
          <w:p>
            <w:r>
              <w:rPr>
                <w:color w:val="1F2937"/>
                <w:sz w:val="17"/>
                <w:szCs w:val="17"/>
              </w:rPr>
              <w:t xml:space="preserve">Sustentabilidade / resíduos</w:t>
            </w:r>
          </w:p>
        </w:tc>
        <w:tc>
          <w:tcPr>
            <w:tcW w:w="855" w:type="dxa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w="370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Disponibilidade de fornecedores no DF</w:t>
            </w:r>
          </w:p>
        </w:tc>
        <w:tc>
          <w:tcPr>
            <w:tcW w:w="85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5%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4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3</w:t>
            </w:r>
          </w:p>
        </w:tc>
        <w:tc>
          <w:tcPr>
            <w:tcW w:w="123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w="3705" w:type="dxa"/>
          </w:tcPr>
          <w:p>
            <w:r>
              <w:rPr>
                <w:color w:val="1F2937"/>
                <w:sz w:val="17"/>
                <w:szCs w:val="17"/>
              </w:rPr>
              <w:t xml:space="preserve">NOTA FINAL</w:t>
            </w:r>
          </w:p>
        </w:tc>
        <w:tc>
          <w:tcPr>
            <w:tcW w:w="855" w:type="dxa"/>
          </w:tcPr>
          <w:p>
            <w:r>
              <w:rPr>
                <w:color w:val="1F2937"/>
                <w:sz w:val="17"/>
                <w:szCs w:val="17"/>
              </w:rPr>
              <w:t xml:space="preserve">100%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83.6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84.6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72.2</w:t>
            </w:r>
          </w:p>
        </w:tc>
        <w:tc>
          <w:tcPr>
            <w:tcW w:w="1235" w:type="dxa"/>
          </w:tcPr>
          <w:p>
            <w:r>
              <w:rPr>
                <w:color w:val="1F2937"/>
                <w:sz w:val="17"/>
                <w:szCs w:val="17"/>
              </w:rPr>
              <w:t xml:space="preserve">63.0</w:t>
            </w:r>
          </w:p>
        </w:tc>
      </w:tr>
    </w:tbl>
    <w:p>
      <w:pPr>
        <w:pStyle w:val="Normal"/>
      </w:pPr>
      <w:r>
        <w:t xml:space="preserve">Justificativa resumida: as pré-moldadas têm vantagem de custo, prazo e simplicidade. O EPS supera a cerâmica em peso e logística, embora a cerâmica seja a mais barata e tenha vantagem em incêndio. A nervurada recebe melhor nota estrutural, mas custo e complexidade reduzem sua viabilidade para 4,93 m. A maciça é robusta, porém apresenta maior peso e custo.</w:t>
      </w:r>
    </w:p>
    <w:p>
      <w:pPr>
        <w:pStyle w:val="Heading2"/>
      </w:pPr>
      <w:r>
        <w:t xml:space="preserve">10. Conclusão e sistema escolhido</w:t>
      </w:r>
    </w:p>
    <w:p>
      <w:pPr>
        <w:pStyle w:val="Normal"/>
      </w:pPr>
      <w:r>
        <w:t xml:space="preserve">A solução escolhida é a laje pré-moldada unidirecional com vigota treliçada e enchimento em EPS, LT=20 cm (16+4). O EPS alcança 80,6/100, contra 79,6/100 da cerâmica. A diferença de pontuação é pequena e coerente com a proximidade econômica das duas soluções.</w:t>
      </w:r>
    </w:p>
    <w:p>
      <w:pPr>
        <w:pStyle w:val="Normal"/>
      </w:pPr>
      <w:r>
        <w:t xml:space="preserve">A cerâmica continua sendo a alternativa de contingência caso as condições comerciais locais ou o fornecimento invertam a pequena vantagem de produtividade/logística do EPS. Se o único critério fosse o menor custo direto, a cerâmica seria a escolhida; considerando os critérios completos do roteiro, o EPS oferece o melhor equilíbrio.</w:t>
      </w:r>
    </w:p>
    <w:p>
      <w:pPr>
        <w:pStyle w:val="Normal"/>
      </w:pPr>
      <w:r>
        <w:t xml:space="preserve">A composição SINAPI usada para precificação do EPS referencia vigota para sobrecarga de 350 kgf/m² e vão até 6,5 m. Isso não significa que a vigota dessa referência esteja automaticamente dimensionada para a igreja. A carga real de cada ambiente deve ser definida e as vigotas, armaduras e escoramentos devem ser especificados no projeto estrutural definitivo.</w:t>
      </w:r>
    </w:p>
    <w:p>
      <w:pPr>
        <w:pStyle w:val="Heading2"/>
      </w:pPr>
      <w:r>
        <w:t xml:space="preserve">11. Conformidade técnica e limites</w:t>
      </w:r>
    </w:p>
    <w:p>
      <w:pPr>
        <w:pStyle w:val="Normal"/>
      </w:pPr>
      <w:r>
        <w:t xml:space="preserve">• NBR 6118: utilizar no projeto estrutural definitivo; o presente documento não calcula armaduras finais.</w:t>
      </w:r>
    </w:p>
    <w:p>
      <w:pPr>
        <w:pStyle w:val="Normal"/>
      </w:pPr>
      <w:r>
        <w:t xml:space="preserve">• NBR 6120: classificar as cargas de uso de nave, circulação, coro/mezanino e demais ambientes.</w:t>
      </w:r>
    </w:p>
    <w:p>
      <w:pPr>
        <w:pStyle w:val="Normal"/>
      </w:pPr>
      <w:r>
        <w:t xml:space="preserve">• NBR 14859 e NBR 9062: verificar requisitos do sistema de lajes pré-fabricadas e componentes pré-moldados.</w:t>
      </w:r>
    </w:p>
    <w:p>
      <w:pPr>
        <w:pStyle w:val="Normal"/>
      </w:pPr>
      <w:r>
        <w:t xml:space="preserve">• NBR 15696 e NBR 14931: observar projeto de fôrmas/escoramentos, execução, cura e desescoramento.</w:t>
      </w:r>
    </w:p>
    <w:p>
      <w:pPr>
        <w:pStyle w:val="Normal"/>
      </w:pPr>
      <w:r>
        <w:t xml:space="preserve">• NBR 15200: tratar a segurança em situação de incêndio do sistema completo; no EPS, o enchimento deve permanecer protegido conforme solução especificada.</w:t>
      </w:r>
    </w:p>
    <w:p>
      <w:pPr>
        <w:pStyle w:val="Normal"/>
      </w:pPr>
      <w:r>
        <w:t xml:space="preserve">• NBR 15575: utilizar como referência conceitual para desempenho térmico/acústico quando aplicável.</w:t>
      </w:r>
    </w:p>
    <w:p>
      <w:pPr>
        <w:pStyle w:val="Normal"/>
      </w:pPr>
      <w:r>
        <w:t xml:space="preserve">• Compatibilizar tubulações e aberturas antes da concretagem. Não cortar vigotas, nervuras ou armaduras posteriormente sem verificação técnica.</w:t>
      </w:r>
    </w:p>
    <w:p>
      <w:pPr>
        <w:pStyle w:val="Heading1"/>
      </w:pPr>
      <w:r>
        <w:t xml:space="preserve">PARTE II - ANÁLISES COMPLEMENTARES</w:t>
      </w:r>
    </w:p>
    <w:p>
      <w:pPr>
        <w:pStyle w:val="Heading2"/>
      </w:pPr>
      <w:r>
        <w:t xml:space="preserve">12. Estratégia executiva por zonas</w:t>
      </w:r>
    </w:p>
    <w:p>
      <w:pPr>
        <w:pStyle w:val="Normal"/>
      </w:pPr>
      <w:r>
        <w:t xml:space="preserve">A padronização do EPS LT20 nas cinco zonas permite ciclos repetitivos de escoramento, montagem, instalações, armaduras, inspeção, concretagem, cura e desescoramento. O objetivo é reduzir troca de métodos, variedade de materiais e retrabalho.</w:t>
      </w:r>
    </w:p>
    <w:tbl>
      <w:tblPr>
        <w:tblStyle w:val="TableGrid"/>
        <w:tblW w:w="0" w:type="auto"/>
      </w:tblPr>
      <w:tr>
        <w:tc>
          <w:tcPr>
            <w:tcW w:w="209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w="237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Prioridade</w:t>
            </w:r>
          </w:p>
        </w:tc>
        <w:tc>
          <w:tcPr>
            <w:tcW w:w="2375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Risco dominante</w:t>
            </w:r>
          </w:p>
        </w:tc>
        <w:tc>
          <w:tcPr>
            <w:tcW w:w="266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Controle</w:t>
            </w:r>
          </w:p>
        </w:tc>
      </w:tr>
      <w:tr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Z1 Nave</w:t>
            </w:r>
          </w:p>
        </w:tc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Vão crítico e uso público</w:t>
            </w:r>
          </w:p>
        </w:tc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Carga/flecha/escoramento</w:t>
            </w:r>
          </w:p>
        </w:tc>
        <w:tc>
          <w:tcPr>
            <w:tcW w:w="2660" w:type="dxa"/>
          </w:tcPr>
          <w:p>
            <w:r>
              <w:rPr>
                <w:color w:val="1F2937"/>
                <w:sz w:val="17"/>
                <w:szCs w:val="17"/>
              </w:rPr>
              <w:t xml:space="preserve">Checklist estrutural e de instalações antes da concretagem.</w:t>
            </w:r>
          </w:p>
        </w:tc>
      </w:tr>
      <w:tr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Z2 Presbitério</w:t>
            </w:r>
          </w:p>
        </w:tc>
        <w:tc>
          <w:tcPr>
            <w:tcW w:w="237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Arquitetura e cargas localizadas</w:t>
            </w:r>
          </w:p>
        </w:tc>
        <w:tc>
          <w:tcPr>
            <w:tcW w:w="237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Interferências</w:t>
            </w:r>
          </w:p>
        </w:tc>
        <w:tc>
          <w:tcPr>
            <w:tcW w:w="266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Compatibilizar elementos fixos e reservas.</w:t>
            </w:r>
          </w:p>
        </w:tc>
      </w:tr>
      <w:tr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Z3 Circulação/coro</w:t>
            </w:r>
          </w:p>
        </w:tc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Uso público</w:t>
            </w:r>
          </w:p>
        </w:tc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Sobrecarga e aberturas</w:t>
            </w:r>
          </w:p>
        </w:tc>
        <w:tc>
          <w:tcPr>
            <w:tcW w:w="2660" w:type="dxa"/>
          </w:tcPr>
          <w:p>
            <w:r>
              <w:rPr>
                <w:color w:val="1F2937"/>
                <w:sz w:val="17"/>
                <w:szCs w:val="17"/>
              </w:rPr>
              <w:t xml:space="preserve">Confirmar carga de uso e passagens.</w:t>
            </w:r>
          </w:p>
        </w:tc>
      </w:tr>
      <w:tr>
        <w:tc>
          <w:tcPr>
            <w:tcW w:w="20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Z4 Apoio</w:t>
            </w:r>
          </w:p>
        </w:tc>
        <w:tc>
          <w:tcPr>
            <w:tcW w:w="237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Repetitividade</w:t>
            </w:r>
          </w:p>
        </w:tc>
        <w:tc>
          <w:tcPr>
            <w:tcW w:w="2375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Perdas</w:t>
            </w:r>
          </w:p>
        </w:tc>
        <w:tc>
          <w:tcPr>
            <w:tcW w:w="266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Ciclo padrão e kits de materiais.</w:t>
            </w:r>
          </w:p>
        </w:tc>
      </w:tr>
      <w:tr>
        <w:tc>
          <w:tcPr>
            <w:tcW w:w="2090" w:type="dxa"/>
          </w:tcPr>
          <w:p>
            <w:r>
              <w:rPr>
                <w:color w:val="1F2937"/>
                <w:sz w:val="17"/>
                <w:szCs w:val="17"/>
              </w:rPr>
              <w:t xml:space="preserve">Z5 Molhadas/técnicas</w:t>
            </w:r>
          </w:p>
        </w:tc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Instalações</w:t>
            </w:r>
          </w:p>
        </w:tc>
        <w:tc>
          <w:tcPr>
            <w:tcW w:w="2375" w:type="dxa"/>
          </w:tcPr>
          <w:p>
            <w:r>
              <w:rPr>
                <w:color w:val="1F2937"/>
                <w:sz w:val="17"/>
                <w:szCs w:val="17"/>
              </w:rPr>
              <w:t xml:space="preserve">Furos/retrabalho</w:t>
            </w:r>
          </w:p>
        </w:tc>
        <w:tc>
          <w:tcPr>
            <w:tcW w:w="2660" w:type="dxa"/>
          </w:tcPr>
          <w:p>
            <w:r>
              <w:rPr>
                <w:color w:val="1F2937"/>
                <w:sz w:val="17"/>
                <w:szCs w:val="17"/>
              </w:rPr>
              <w:t xml:space="preserve">Congelar passagens e impermeabilização.</w:t>
            </w:r>
          </w:p>
        </w:tc>
      </w:tr>
    </w:tbl>
    <w:p>
      <w:pPr>
        <w:pStyle w:val="Heading2"/>
      </w:pPr>
      <w:r>
        <w:t xml:space="preserve">13. Proposta de canteiro</w:t>
      </w:r>
    </w:p>
    <w:p>
      <w:pPr>
        <w:pStyle w:val="Normal"/>
      </w:pPr>
      <w:r>
        <w:t xml:space="preserve">O canteiro deve prever: acesso/controle; área de descarga; estoque coberto; armazenamento protegido de EPS; área de montagem; sanitários; vestiário; local de refeições; água potável; resíduos segregados; circulação segura; e acesso temporário de bomba/caminhão de concreto. O arranjo deve ser compatibilizado com a implantação real e com a NR-18.</w:t>
      </w:r>
    </w:p>
    <w:p>
      <w:pPr>
        <w:pStyle w:val="Heading2"/>
      </w:pPr>
      <w:r>
        <w:t xml:space="preserve">14. Riscos principais</w:t>
      </w:r>
    </w:p>
    <w:tbl>
      <w:tblPr>
        <w:tblStyle w:val="TableGrid"/>
        <w:tblW w:w="0" w:type="auto"/>
      </w:tblPr>
      <w:tr>
        <w:tc>
          <w:tcPr>
            <w:tcW w:w="399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w="114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Prob.</w:t>
            </w:r>
          </w:p>
        </w:tc>
        <w:tc>
          <w:tcPr>
            <w:tcW w:w="114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w="3230" w:type="dxa"/>
            <w:shd w:fill="17365D"/>
          </w:tcPr>
          <w:p>
            <w:r>
              <w:rPr>
                <w:b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w="3990" w:type="dxa"/>
          </w:tcPr>
          <w:p>
            <w:r>
              <w:rPr>
                <w:color w:val="1F2937"/>
                <w:sz w:val="17"/>
                <w:szCs w:val="17"/>
              </w:rPr>
              <w:t xml:space="preserve">Carga real superior à referência do insumo</w:t>
            </w:r>
          </w:p>
        </w:tc>
        <w:tc>
          <w:tcPr>
            <w:tcW w:w="1140" w:type="dxa"/>
          </w:tcPr>
          <w:p>
            <w:r>
              <w:rPr>
                <w:color w:val="1F2937"/>
                <w:sz w:val="17"/>
                <w:szCs w:val="17"/>
              </w:rPr>
              <w:t xml:space="preserve">Alta</w:t>
            </w:r>
          </w:p>
        </w:tc>
        <w:tc>
          <w:tcPr>
            <w:tcW w:w="1140" w:type="dxa"/>
          </w:tcPr>
          <w:p>
            <w:r>
              <w:rPr>
                <w:color w:val="1F2937"/>
                <w:sz w:val="17"/>
                <w:szCs w:val="17"/>
              </w:rPr>
              <w:t xml:space="preserve">Alta</w:t>
            </w:r>
          </w:p>
        </w:tc>
        <w:tc>
          <w:tcPr>
            <w:tcW w:w="3230" w:type="dxa"/>
          </w:tcPr>
          <w:p>
            <w:r>
              <w:rPr>
                <w:color w:val="1F2937"/>
                <w:sz w:val="17"/>
                <w:szCs w:val="17"/>
              </w:rPr>
              <w:t xml:space="preserve">Dimensionar vigotas/armaduras para a carga efetiva.</w:t>
            </w:r>
          </w:p>
        </w:tc>
      </w:tr>
      <w:tr>
        <w:tc>
          <w:tcPr>
            <w:tcW w:w="39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Vão de outra zona superar 4,93 m</w:t>
            </w:r>
          </w:p>
        </w:tc>
        <w:tc>
          <w:tcPr>
            <w:tcW w:w="114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Média</w:t>
            </w:r>
          </w:p>
        </w:tc>
        <w:tc>
          <w:tcPr>
            <w:tcW w:w="114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Alta</w:t>
            </w:r>
          </w:p>
        </w:tc>
        <w:tc>
          <w:tcPr>
            <w:tcW w:w="323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Fechar levantamento geométrico antes da contratação.</w:t>
            </w:r>
          </w:p>
        </w:tc>
      </w:tr>
      <w:tr>
        <w:tc>
          <w:tcPr>
            <w:tcW w:w="3990" w:type="dxa"/>
          </w:tcPr>
          <w:p>
            <w:r>
              <w:rPr>
                <w:color w:val="1F2937"/>
                <w:sz w:val="17"/>
                <w:szCs w:val="17"/>
              </w:rPr>
              <w:t xml:space="preserve">Dano/deslocamento do EPS</w:t>
            </w:r>
          </w:p>
        </w:tc>
        <w:tc>
          <w:tcPr>
            <w:tcW w:w="1140" w:type="dxa"/>
          </w:tcPr>
          <w:p>
            <w:r>
              <w:rPr>
                <w:color w:val="1F2937"/>
                <w:sz w:val="17"/>
                <w:szCs w:val="17"/>
              </w:rPr>
              <w:t xml:space="preserve">Média</w:t>
            </w:r>
          </w:p>
        </w:tc>
        <w:tc>
          <w:tcPr>
            <w:tcW w:w="1140" w:type="dxa"/>
          </w:tcPr>
          <w:p>
            <w:r>
              <w:rPr>
                <w:color w:val="1F2937"/>
                <w:sz w:val="17"/>
                <w:szCs w:val="17"/>
              </w:rPr>
              <w:t xml:space="preserve">Média</w:t>
            </w:r>
          </w:p>
        </w:tc>
        <w:tc>
          <w:tcPr>
            <w:tcW w:w="3230" w:type="dxa"/>
          </w:tcPr>
          <w:p>
            <w:r>
              <w:rPr>
                <w:color w:val="1F2937"/>
                <w:sz w:val="17"/>
                <w:szCs w:val="17"/>
              </w:rPr>
              <w:t xml:space="preserve">Estoque protegido, passarelas e inspeção.</w:t>
            </w:r>
          </w:p>
        </w:tc>
      </w:tr>
      <w:tr>
        <w:tc>
          <w:tcPr>
            <w:tcW w:w="39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Instalações interceptarem vigotas</w:t>
            </w:r>
          </w:p>
        </w:tc>
        <w:tc>
          <w:tcPr>
            <w:tcW w:w="114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Média</w:t>
            </w:r>
          </w:p>
        </w:tc>
        <w:tc>
          <w:tcPr>
            <w:tcW w:w="114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Alta</w:t>
            </w:r>
          </w:p>
        </w:tc>
        <w:tc>
          <w:tcPr>
            <w:tcW w:w="323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Mapa de reservas antes da montagem.</w:t>
            </w:r>
          </w:p>
        </w:tc>
      </w:tr>
      <w:tr>
        <w:tc>
          <w:tcPr>
            <w:tcW w:w="3990" w:type="dxa"/>
          </w:tcPr>
          <w:p>
            <w:r>
              <w:rPr>
                <w:color w:val="1F2937"/>
                <w:sz w:val="17"/>
                <w:szCs w:val="17"/>
              </w:rPr>
              <w:t xml:space="preserve">Atraso de fornecimento</w:t>
            </w:r>
          </w:p>
        </w:tc>
        <w:tc>
          <w:tcPr>
            <w:tcW w:w="1140" w:type="dxa"/>
          </w:tcPr>
          <w:p>
            <w:r>
              <w:rPr>
                <w:color w:val="1F2937"/>
                <w:sz w:val="17"/>
                <w:szCs w:val="17"/>
              </w:rPr>
              <w:t xml:space="preserve">Média</w:t>
            </w:r>
          </w:p>
        </w:tc>
        <w:tc>
          <w:tcPr>
            <w:tcW w:w="1140" w:type="dxa"/>
          </w:tcPr>
          <w:p>
            <w:r>
              <w:rPr>
                <w:color w:val="1F2937"/>
                <w:sz w:val="17"/>
                <w:szCs w:val="17"/>
              </w:rPr>
              <w:t xml:space="preserve">Média</w:t>
            </w:r>
          </w:p>
        </w:tc>
        <w:tc>
          <w:tcPr>
            <w:tcW w:w="3230" w:type="dxa"/>
          </w:tcPr>
          <w:p>
            <w:r>
              <w:rPr>
                <w:color w:val="1F2937"/>
                <w:sz w:val="17"/>
                <w:szCs w:val="17"/>
              </w:rPr>
              <w:t xml:space="preserve">Planejamento de compras e fornecedor alternativo.</w:t>
            </w:r>
          </w:p>
        </w:tc>
      </w:tr>
      <w:tr>
        <w:tc>
          <w:tcPr>
            <w:tcW w:w="399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Desescoramento prematuro</w:t>
            </w:r>
          </w:p>
        </w:tc>
        <w:tc>
          <w:tcPr>
            <w:tcW w:w="114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Baixa</w:t>
            </w:r>
          </w:p>
        </w:tc>
        <w:tc>
          <w:tcPr>
            <w:tcW w:w="114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Alta</w:t>
            </w:r>
          </w:p>
        </w:tc>
        <w:tc>
          <w:tcPr>
            <w:tcW w:w="3230" w:type="dxa"/>
            <w:shd w:fill="F2F5F9"/>
          </w:tcPr>
          <w:p>
            <w:r>
              <w:rPr>
                <w:color w:val="1F2937"/>
                <w:sz w:val="17"/>
                <w:szCs w:val="17"/>
              </w:rPr>
              <w:t xml:space="preserve">Plano de escoramento e liberação técnica.</w:t>
            </w:r>
          </w:p>
        </w:tc>
      </w:tr>
    </w:tbl>
    <w:p>
      <w:pPr>
        <w:pStyle w:val="Heading2"/>
      </w:pPr>
      <w:r>
        <w:t xml:space="preserve">15. Sensibilidade da decisão</w:t>
      </w:r>
    </w:p>
    <w:p>
      <w:pPr>
        <w:pStyle w:val="Normal"/>
      </w:pPr>
      <w:r>
        <w:t xml:space="preserve">O resultado é sensível aos pesos. A cerâmica domina em custo direto; o EPS domina em peso, logística e prazo. Essa proximidade é desejável para a discussão acadêmica, pois evidencia que viabilidade econômica não é sinônimo de menor preço unitário.</w:t>
      </w:r>
    </w:p>
    <w:p>
      <w:pPr>
        <w:pStyle w:val="Heading2"/>
      </w:pPr>
      <w:r>
        <w:t xml:space="preserve">16. Próximos passos</w:t>
      </w:r>
    </w:p>
    <w:p>
      <w:pPr>
        <w:pStyle w:val="Normal"/>
      </w:pPr>
      <w:r>
        <w:t xml:space="preserve">• Medir todos os vãos e áreas de laje nas pranchas definitivas.</w:t>
      </w:r>
    </w:p>
    <w:p>
      <w:pPr>
        <w:pStyle w:val="Normal"/>
      </w:pPr>
      <w:r>
        <w:t xml:space="preserve">• Converter o custo unitário por m² em orçamento global por zona.</w:t>
      </w:r>
    </w:p>
    <w:p>
      <w:pPr>
        <w:pStyle w:val="Normal"/>
      </w:pPr>
      <w:r>
        <w:t xml:space="preserve">• Solicitar cotação de vigotas dimensionadas para as cargas reais e confrontar com o SINAPI.</w:t>
      </w:r>
    </w:p>
    <w:p>
      <w:pPr>
        <w:pStyle w:val="Normal"/>
      </w:pPr>
      <w:r>
        <w:t xml:space="preserve">• Usar a ferramenta digital complementar para simular alterações de custo, vão, carga, pesos e logística sem modificar o relatório-base.</w:t>
      </w:r>
    </w:p>
    <w:p>
      <w:pPr>
        <w:pStyle w:val="Heading1"/>
      </w:pPr>
      <w:r>
        <w:t xml:space="preserve">REFERÊNCIAS</w:t>
      </w:r>
    </w:p>
    <w:p>
      <w:pPr>
        <w:pStyle w:val="Normal"/>
      </w:pPr>
      <w:r>
        <w:t xml:space="preserve">• CAIXA Econômica Federal. SINAPI - referência DF, agosto/2026.</w:t>
      </w:r>
    </w:p>
    <w:p>
      <w:pPr>
        <w:pStyle w:val="Normal"/>
      </w:pPr>
      <w:r>
        <w:t xml:space="preserve">• SINAPI 101949 - laje pré-moldada com enchimento cerâmico LT20.</w:t>
      </w:r>
    </w:p>
    <w:p>
      <w:pPr>
        <w:pStyle w:val="Normal"/>
      </w:pPr>
      <w:r>
        <w:t xml:space="preserve">• SINAPI 101953 - laje pré-moldada com enchimento EPS LT20.</w:t>
      </w:r>
    </w:p>
    <w:p>
      <w:pPr>
        <w:pStyle w:val="Normal"/>
      </w:pPr>
      <w:r>
        <w:t xml:space="preserve">• SINAPI 92506 - fôrma de laje nervurada com cubeta.</w:t>
      </w:r>
    </w:p>
    <w:p>
      <w:pPr>
        <w:pStyle w:val="Normal"/>
      </w:pPr>
      <w:r>
        <w:t xml:space="preserve">• SINAPI 103763 - fôrma/cimbramento de laje maciça.</w:t>
      </w:r>
    </w:p>
    <w:p>
      <w:pPr>
        <w:pStyle w:val="Normal"/>
      </w:pPr>
      <w:r>
        <w:t xml:space="preserve">• SINAPI 103675 - concretagem de vigas e lajes maciças/nervuradas com bomba.</w:t>
      </w:r>
    </w:p>
    <w:p>
      <w:pPr>
        <w:pStyle w:val="Normal"/>
      </w:pPr>
      <w:r>
        <w:t xml:space="preserve">• SINAPI 92770 - armação de laje em CA-50.</w:t>
      </w:r>
    </w:p>
    <w:p>
      <w:pPr>
        <w:pStyle w:val="Normal"/>
      </w:pPr>
      <w:r>
        <w:t xml:space="preserve">• ABNT NBR 6118 - Projeto de estruturas de concreto.</w:t>
      </w:r>
    </w:p>
    <w:p>
      <w:pPr>
        <w:pStyle w:val="Normal"/>
      </w:pPr>
      <w:r>
        <w:t xml:space="preserve">• ABNT NBR 6120 - Ações para estruturas de edificações.</w:t>
      </w:r>
    </w:p>
    <w:p>
      <w:pPr>
        <w:pStyle w:val="Normal"/>
      </w:pPr>
      <w:r>
        <w:t xml:space="preserve">• ABNT NBR 14859-1 e -2 - Lajes pré-fabricadas de concreto.</w:t>
      </w:r>
    </w:p>
    <w:p>
      <w:pPr>
        <w:pStyle w:val="Normal"/>
      </w:pPr>
      <w:r>
        <w:t xml:space="preserve">• ABNT NBR 9062 - Estruturas de concreto pré-moldado.</w:t>
      </w:r>
    </w:p>
    <w:p>
      <w:pPr>
        <w:pStyle w:val="Normal"/>
      </w:pPr>
      <w:r>
        <w:t xml:space="preserve">• ABNT NBR 15696 - Fôrmas e escoramentos.</w:t>
      </w:r>
    </w:p>
    <w:p>
      <w:pPr>
        <w:pStyle w:val="Normal"/>
      </w:pPr>
      <w:r>
        <w:t xml:space="preserve">• ABNT NBR 14931 - Execução de estruturas de concreto.</w:t>
      </w:r>
    </w:p>
    <w:p>
      <w:pPr>
        <w:pStyle w:val="Normal"/>
      </w:pPr>
      <w:r>
        <w:t xml:space="preserve">• ABNT NBR 15200 - Estruturas de concreto em situação de incêndio.</w:t>
      </w:r>
    </w:p>
    <w:p>
      <w:pPr>
        <w:pStyle w:val="Normal"/>
      </w:pPr>
      <w:r>
        <w:t xml:space="preserve">• ABNT NBR 15575 - Desempenho.</w:t>
      </w:r>
    </w:p>
    <w:p>
      <w:pPr>
        <w:pStyle w:val="Normal"/>
      </w:pPr>
      <w:r>
        <w:t xml:space="preserve">• NR-18 - Segurança e Saúde no Trabalho na Indústria da Construção.</w:t>
      </w:r>
    </w:p>
    <w:sectPr>
      <w:footerReference w:type="default" r:id="rId4"/>
      <w:pgSz w:w="11906" w:h="16838"/>
      <w:pgMar w:top="1134" w:right="1134" w:bottom="1134" w:left="1134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8"/>
      </w:rPr>
      <w:t>Engenharia Civil - ITCC | Igreja Santa Terezinha |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76" w:lineRule="auto"/>
      <w:jc w:val="both"/>
    </w:pPr>
    <w:rPr>
      <w:rFonts w:ascii="Aptos" w:hAnsi="Aptos"/>
      <w:sz w:val="22"/>
    </w:rPr>
  </w:style>
  <w:style w:type="paragraph" w:styleId="Title">
    <w:name w:val="Title"/>
    <w:basedOn w:val="Normal"/>
    <w:pPr>
      <w:spacing w:before="180" w:after="180"/>
      <w:jc w:val="center"/>
    </w:pPr>
    <w:rPr>
      <w:b/>
      <w:sz w:val="34"/>
      <w:color w:val="17365D"/>
    </w:rPr>
  </w:style>
  <w:style w:type="paragraph" w:styleId="Subtitle">
    <w:name w:val="Subtitle"/>
    <w:basedOn w:val="Normal"/>
    <w:pPr>
      <w:spacing w:after="100"/>
      <w:jc w:val="center"/>
    </w:pPr>
    <w:rPr>
      <w:sz w:val="22"/>
      <w:color w:val="475467"/>
    </w:rPr>
  </w:style>
  <w:style w:type="paragraph" w:styleId="Heading1">
    <w:name w:val="Heading 1"/>
    <w:basedOn w:val="Normal"/>
    <w:pPr>
      <w:keepNext/>
      <w:spacing w:before="260" w:after="140"/>
    </w:pPr>
    <w:rPr>
      <w:b/>
      <w:sz w:val="28"/>
      <w:color w:val="17365D"/>
    </w:rPr>
  </w:style>
  <w:style w:type="paragraph" w:styleId="Heading2">
    <w:name w:val="Heading 2"/>
    <w:basedOn w:val="Normal"/>
    <w:pPr>
      <w:keepNext/>
      <w:spacing w:before="200" w:after="100"/>
    </w:pPr>
    <w:rPr>
      <w:b/>
      <w:sz w:val="24"/>
      <w:color w:val="2F5597"/>
    </w:rPr>
  </w:style>
  <w:style w:type="table" w:styleId="TableGrid">
    <w:name w:val="Table Grid"/>
    <w:tblPr>
      <w:tblBorders>
        <w:top w:val="single" w:sz="4" w:color="D0D5DD"/>
        <w:left w:val="single" w:sz="4" w:color="D0D5DD"/>
        <w:bottom w:val="single" w:sz="4" w:color="D0D5DD"/>
        <w:right w:val="single" w:sz="4" w:color="D0D5DD"/>
        <w:insideH w:val="single" w:sz="4" w:color="D0D5DD"/>
        <w:insideV w:val="single" w:sz="4" w:color="D0D5DD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4" Type="http://schemas.openxmlformats.org/officeDocument/2006/relationships/footer" Target="footer1.xml"/></Relationships>
</file>