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MSA-0010-1488</w:t>
      </w:r>
    </w:p>
    <w:p>
      <w:r>
        <w:t>Date: 2025-08-12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Williams, Avila and Ruiz Corporation</w:t>
      </w:r>
      <w:r>
        <w:t xml:space="preserve"> ("Vendor")</w:t>
      </w:r>
    </w:p>
    <w:p>
      <w:r>
        <w:t>Howardshire, nan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Manufacturing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30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rPr>
          <w:b/>
          <w:color w:val="FF0000"/>
        </w:rPr>
        <w:t>The Vendor's liability shall be unlimited for all claims arising from this Agreement.</w:t>
      </w:r>
    </w:p>
    <w:p>
      <w:r>
        <w:rPr>
          <w:b/>
          <w:i/>
          <w:color w:val="FF0000"/>
        </w:rPr>
        <w:t>[LEGAL: HIGH RISK - Unlimited liability clause needs revision]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Girik Kar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Head of Procurement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