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Mitigation Measure Validation Pipeline</w:t>
      </w:r>
    </w:p>
    <w:p>
      <w:pPr>
        <w:spacing w:after="40"/>
      </w:pPr>
      <w:r>
        <w:rPr>
          <w:b/>
          <w:bCs/>
          <w:color w:val="2E75B6"/>
          <w:sz w:val="26"/>
          <w:szCs w:val="26"/>
        </w:rPr>
        <w:t xml:space="preserve">Variant B — without dual-corpus validation</w:t>
      </w:r>
    </w:p>
    <w:p>
      <w:pPr>
        <w:spacing w:after="160"/>
      </w:pPr>
      <w:r>
        <w:rPr>
          <w:i/>
          <w:iCs/>
          <w:color w:val="555555"/>
          <w:sz w:val="20"/>
          <w:szCs w:val="20"/>
        </w:rPr>
        <w:t xml:space="preserve">RAG-based validation of user-proposed mitigation measures for a geographic hazard, against a local knowledge base. Self-hosted open models (Qwen / Mistral-Nemo / Llama).</w:t>
      </w:r>
    </w:p>
    <w:p>
      <w:pPr>
        <w:pBdr>
          <w:bottom w:val="single" w:color="2E75B6" w:sz="6" w:space="1"/>
        </w:pBdr>
        <w:spacing w:after="160"/>
      </w:pPr>
      <w:r>
        <w:t xml:space="preserve"/>
      </w:r>
    </w:p>
    <w:p>
      <w:pPr>
        <w:shd w:fill="FBF0E6" w:val="clear"/>
        <w:spacing w:after="60" w:before="60"/>
        <w:ind w:left="160" w:right="160"/>
      </w:pPr>
      <w:r>
        <w:rPr>
          <w:b/>
          <w:bCs/>
        </w:rPr>
        <w:t xml:space="preserve">How this variant differs.  </w:t>
      </w:r>
    </w:p>
    <w:p>
      <w:pPr>
        <w:shd w:fill="FBF0E6" w:val="clear"/>
        <w:spacing w:after="120"/>
        <w:ind w:left="160" w:right="160"/>
      </w:pPr>
      <w:r>
        <w:t xml:space="preserve">When the user supplies evidence, the measure is validated against that evidence ALONE; the curated knowledge base is not consulted during this validation. Simpler and cheaper, but it cannot catch a measure that the chosen evidence supports yet the curated base contradicts. See section 7.3. The companion document, Variant A (with dual-corpus validation), adds that contradiction check.</w:t>
      </w:r>
    </w:p>
    <w:p>
      <w:pPr>
        <w:pStyle w:val="Heading1"/>
      </w:pPr>
      <w:r>
        <w:t xml:space="preserve">1. Purpose and scope</w:t>
      </w:r>
    </w:p>
    <w:p>
      <w:pPr>
        <w:spacing w:after="140" w:line="276"/>
      </w:pPr>
      <w:r>
        <w:t xml:space="preserve">Given a specific geographic hazard tied to a policy, the system asks a user to propose a mitigation measure and then validates and evaluates it before offering any guidance. A user submission has three components:</w:t>
      </w:r>
    </w:p>
    <w:p>
      <w:pPr>
        <w:pStyle w:val="ListParagraph"/>
        <w:numPr>
          <w:ilvl w:val="0"/>
          <w:numId w:val="2"/>
        </w:numPr>
        <w:spacing w:after="80" w:line="276"/>
      </w:pPr>
      <w:r>
        <w:rPr>
          <w:b/>
          <w:bCs/>
        </w:rPr>
        <w:t xml:space="preserve">Measure description</w:t>
      </w:r>
      <w:r>
        <w:t xml:space="preserve"> — what the user proposes to do (short or long).</w:t>
      </w:r>
    </w:p>
    <w:p>
      <w:pPr>
        <w:pStyle w:val="ListParagraph"/>
        <w:numPr>
          <w:ilvl w:val="0"/>
          <w:numId w:val="2"/>
        </w:numPr>
        <w:spacing w:after="80" w:line="276"/>
      </w:pPr>
      <w:r>
        <w:rPr>
          <w:b/>
          <w:bCs/>
        </w:rPr>
        <w:t xml:space="preserve">Justification</w:t>
      </w:r>
      <w:r>
        <w:t xml:space="preserve"> — the user's stated reasoning for why it mitigates the hazard.</w:t>
      </w:r>
    </w:p>
    <w:p>
      <w:pPr>
        <w:pStyle w:val="ListParagraph"/>
        <w:numPr>
          <w:ilvl w:val="0"/>
          <w:numId w:val="2"/>
        </w:numPr>
        <w:spacing w:after="80" w:line="276"/>
      </w:pPr>
      <w:r>
        <w:rPr>
          <w:b/>
          <w:bCs/>
        </w:rPr>
        <w:t xml:space="preserve">Evidence</w:t>
      </w:r>
      <w:r>
        <w:t xml:space="preserve"> — supporting references; </w:t>
      </w:r>
      <w:r>
        <w:rPr>
          <w:b/>
          <w:bCs/>
        </w:rPr>
        <w:t xml:space="preserve">optional</w:t>
      </w:r>
      <w:r>
        <w:t xml:space="preserve">. When supplied, it must be a published work (see 7.1).</w:t>
      </w:r>
    </w:p>
    <w:p>
      <w:pPr>
        <w:spacing w:after="140" w:line="276"/>
      </w:pPr>
      <w:r>
        <w:t xml:space="preserve">The system validates the measure and justification against a local knowledge base held in a vector database (RAG). It asks follow-up questions until the inputs are clear enough to evaluate, establishes whether the measure is supported, and only then concludes. The final conclusion must contain no indirect inferences: nothing beyond the local knowledge base or the validated user input.</w:t>
      </w:r>
    </w:p>
    <w:p>
      <w:pPr>
        <w:pStyle w:val="Heading1"/>
      </w:pPr>
      <w:r>
        <w:t xml:space="preserve">2. Core design principle: two separate signals</w:t>
      </w:r>
    </w:p>
    <w:p>
      <w:pPr>
        <w:spacing w:after="140" w:line="276"/>
      </w:pPr>
      <w:r>
        <w:t xml:space="preserve">"Confidence" is split into two signals that must never be collapsed into one rising score:</w:t>
      </w:r>
    </w:p>
    <w:p>
      <w:pPr>
        <w:pStyle w:val="ListParagraph"/>
        <w:numPr>
          <w:ilvl w:val="0"/>
          <w:numId w:val="2"/>
        </w:numPr>
        <w:spacing w:after="80" w:line="276"/>
      </w:pPr>
      <w:r>
        <w:rPr>
          <w:b/>
          <w:bCs/>
        </w:rPr>
        <w:t xml:space="preserve">Input clarity</w:t>
      </w:r>
      <w:r>
        <w:t xml:space="preserve"> — does the system have enough unambiguous information to evaluate? This rises as the user answers follow-up questions.</w:t>
      </w:r>
    </w:p>
    <w:p>
      <w:pPr>
        <w:pStyle w:val="ListParagraph"/>
        <w:numPr>
          <w:ilvl w:val="0"/>
          <w:numId w:val="2"/>
        </w:numPr>
        <w:spacing w:after="80" w:line="276"/>
      </w:pPr>
      <w:r>
        <w:rPr>
          <w:b/>
          <w:bCs/>
        </w:rPr>
        <w:t xml:space="preserve">Groundedness</w:t>
      </w:r>
      <w:r>
        <w:t xml:space="preserve"> — is the validated measure actually supported by the available corpus? This rises only if the corpus backs the measure, never merely because the user kept talking.</w:t>
      </w:r>
    </w:p>
    <w:p>
      <w:pPr>
        <w:spacing w:after="140" w:line="276"/>
      </w:pPr>
      <w:r>
        <w:t xml:space="preserve">If the two were merged, the system would grow more confident simply because the user supplied more text — each follow-up answer is more user-asserted content, which models tend to accept. The clarity loop and the groundedness validation are therefore run as separate stages, and the clarity loop can never raise groundedness.</w:t>
      </w:r>
    </w:p>
    <w:p>
      <w:pPr>
        <w:spacing w:after="140" w:line="276"/>
      </w:pPr>
      <w:r>
        <w:rPr>
          <w:b/>
          <w:bCs/>
        </w:rPr>
        <w:t xml:space="preserve">A second principle: </w:t>
      </w:r>
      <w:r>
        <w:t xml:space="preserve">do not rely on a single model-emitted confidence number. Verbalized confidence from 8–13B open models is poorly calibrated and clusters at round values. Confidence is derived instead from a rubric of individually-assessable checks plus retrieval signal (see section 10).</w:t>
      </w:r>
    </w:p>
    <w:p>
      <w:pPr>
        <w:pStyle w:val="Heading1"/>
      </w:pPr>
      <w:r>
        <w:t xml:space="preserve">3. Pipeline at a glance</w:t>
      </w:r>
    </w:p>
    <w:p>
      <w:pPr>
        <w:pStyle w:val="ListParagraph"/>
        <w:numPr>
          <w:ilvl w:val="0"/>
          <w:numId w:val="3"/>
        </w:numPr>
        <w:spacing w:after="80" w:line="276"/>
      </w:pPr>
      <w:r>
        <w:rPr>
          <w:b/>
          <w:bCs/>
        </w:rPr>
        <w:t xml:space="preserve">Step 0 — Intake. </w:t>
      </w:r>
      <w:r>
        <w:t xml:space="preserve">Capture the three components as separate fields.</w:t>
      </w:r>
    </w:p>
    <w:p>
      <w:pPr>
        <w:pStyle w:val="ListParagraph"/>
        <w:numPr>
          <w:ilvl w:val="0"/>
          <w:numId w:val="3"/>
        </w:numPr>
        <w:spacing w:after="80" w:line="276"/>
      </w:pPr>
      <w:r>
        <w:rPr>
          <w:b/>
          <w:bCs/>
        </w:rPr>
        <w:t xml:space="preserve">Step 1 — Clarity track. </w:t>
      </w:r>
      <w:r>
        <w:t xml:space="preserve">Follow-up questioning loop until inputs are unambiguous.</w:t>
      </w:r>
    </w:p>
    <w:p>
      <w:pPr>
        <w:pStyle w:val="ListParagraph"/>
        <w:numPr>
          <w:ilvl w:val="0"/>
          <w:numId w:val="3"/>
        </w:numPr>
        <w:spacing w:after="80" w:line="276"/>
      </w:pPr>
      <w:r>
        <w:rPr>
          <w:b/>
          <w:bCs/>
        </w:rPr>
        <w:t xml:space="preserve">Branch — Evidence provided? </w:t>
      </w:r>
      <w:r>
        <w:t xml:space="preserve">Deterministic fork on field presence.</w:t>
      </w:r>
    </w:p>
    <w:p>
      <w:pPr>
        <w:pStyle w:val="ListParagraph"/>
        <w:numPr>
          <w:ilvl w:val="0"/>
          <w:numId w:val="3"/>
        </w:numPr>
        <w:spacing w:after="80" w:line="276"/>
      </w:pPr>
      <w:r>
        <w:rPr>
          <w:b/>
          <w:bCs/>
        </w:rPr>
        <w:t xml:space="preserve">Step 2A — Evidence branch. </w:t>
      </w:r>
      <w:r>
        <w:t xml:space="preserve">Provenance gate → content gate → groundedness validation → KB admission.</w:t>
      </w:r>
    </w:p>
    <w:p>
      <w:pPr>
        <w:pStyle w:val="ListParagraph"/>
        <w:numPr>
          <w:ilvl w:val="0"/>
          <w:numId w:val="3"/>
        </w:numPr>
        <w:spacing w:after="80" w:line="276"/>
      </w:pPr>
      <w:r>
        <w:rPr>
          <w:b/>
          <w:bCs/>
        </w:rPr>
        <w:t xml:space="preserve">Step 2B — No-evidence branch. </w:t>
      </w:r>
      <w:r>
        <w:t xml:space="preserve">Validate against the main KB, or abstain.</w:t>
      </w:r>
    </w:p>
    <w:p>
      <w:pPr>
        <w:pStyle w:val="ListParagraph"/>
        <w:numPr>
          <w:ilvl w:val="0"/>
          <w:numId w:val="3"/>
        </w:numPr>
        <w:spacing w:after="80" w:line="276"/>
      </w:pPr>
      <w:r>
        <w:rPr>
          <w:b/>
          <w:bCs/>
        </w:rPr>
        <w:t xml:space="preserve">Step 3 — Grounded synthesis. </w:t>
      </w:r>
      <w:r>
        <w:t xml:space="preserve">Citation-required generation, then an entailment check.</w:t>
      </w:r>
    </w:p>
    <w:p>
      <w:pPr>
        <w:pStyle w:val="Heading1"/>
      </w:pPr>
      <w:r>
        <w:t xml:space="preserve">4. Step 0 — Intake</w:t>
      </w:r>
    </w:p>
    <w:p>
      <w:pPr>
        <w:spacing w:after="140" w:line="276"/>
      </w:pPr>
      <w:r>
        <w:t xml:space="preserve">Capture measure_description, justification, and evidence (a list, possibly empty) as separate structured fields. Never concatenate them; they are evaluated independently downstream. At this stage the evidence field is raw, untrusted user text — a pasted citation, a DOI, a title, or an uploaded PDF.</w:t>
      </w:r>
    </w:p>
    <w:p>
      <w:pPr>
        <w:pStyle w:val="Heading1"/>
      </w:pPr>
      <w:r>
        <w:t xml:space="preserve">5. Step 1 — Clarity track (the questioning loop)</w:t>
      </w:r>
    </w:p>
    <w:p>
      <w:pPr>
        <w:spacing w:after="140" w:line="276"/>
      </w:pPr>
      <w:r>
        <w:t xml:space="preserve">A rubric over input understandability, not correctness. Typical dimensions:</w:t>
      </w:r>
    </w:p>
    <w:p>
      <w:pPr>
        <w:pStyle w:val="ListParagraph"/>
        <w:numPr>
          <w:ilvl w:val="0"/>
          <w:numId w:val="2"/>
        </w:numPr>
        <w:spacing w:after="80" w:line="276"/>
      </w:pPr>
      <w:r>
        <w:t xml:space="preserve">Specificity — is the measure described concretely enough to evaluate?</w:t>
      </w:r>
    </w:p>
    <w:p>
      <w:pPr>
        <w:pStyle w:val="ListParagraph"/>
        <w:numPr>
          <w:ilvl w:val="0"/>
          <w:numId w:val="2"/>
        </w:numPr>
        <w:spacing w:after="80" w:line="276"/>
      </w:pPr>
      <w:r>
        <w:t xml:space="preserve">Justification clarity — is the user's reasoning stated unambiguously?</w:t>
      </w:r>
    </w:p>
    <w:p>
      <w:pPr>
        <w:pStyle w:val="ListParagraph"/>
        <w:numPr>
          <w:ilvl w:val="0"/>
          <w:numId w:val="2"/>
        </w:numPr>
        <w:spacing w:after="80" w:line="276"/>
      </w:pPr>
      <w:r>
        <w:t xml:space="preserve">Evidence identifiability — if evidence is present, is it clear what it is (enough to identify it)?</w:t>
      </w:r>
    </w:p>
    <w:p>
      <w:pPr>
        <w:spacing w:after="140" w:line="276"/>
      </w:pPr>
      <w:r>
        <w:t xml:space="preserve">Each dimension resolves to CLEAR or NEEDS_CLARIFICATION. While any critical dimension is NEEDS_CLARIFICATION and the turn count is under a cap, the system emits exactly one targeted follow-up question, feeds the answer back, and re-resolves. On reaching the cap without resolution it abstains or escalates rather than forcing a verdict. The output is a frozen, unambiguous statement of the three inputs. This stage cannot touch groundedness.</w:t>
      </w:r>
    </w:p>
    <w:p>
      <w:pPr>
        <w:pStyle w:val="Heading1"/>
      </w:pPr>
      <w:r>
        <w:t xml:space="preserve">6. Branch decision — evidence provided?</w:t>
      </w:r>
    </w:p>
    <w:p>
      <w:pPr>
        <w:spacing w:after="140" w:line="276"/>
      </w:pPr>
      <w:r>
        <w:t xml:space="preserve">A deterministic branch on whether the evidence list is non-empty. It is not a model judgment — only field presence. It decides which corpus is authoritative downstream: user-supplied evidence (Step 2A) or the existing main KB (Step 2B).</w:t>
      </w:r>
    </w:p>
    <w:p>
      <w:pPr>
        <w:pStyle w:val="Heading1"/>
      </w:pPr>
      <w:r>
        <w:t xml:space="preserve">7. Step 2A — Evidence branch</w:t>
      </w:r>
    </w:p>
    <w:p>
      <w:pPr>
        <w:pStyle w:val="Heading2"/>
      </w:pPr>
      <w:r>
        <w:t xml:space="preserve">7.1 Provenance gate (the published-work rule)</w:t>
      </w:r>
    </w:p>
    <w:p>
      <w:pPr>
        <w:spacing w:after="140" w:line="276"/>
      </w:pPr>
      <w:r>
        <w:rPr>
          <w:b/>
          <w:bCs/>
        </w:rPr>
        <w:t xml:space="preserve">Cardinal rule: the model extracts, an external service verifies. </w:t>
      </w:r>
      <w:r>
        <w:t xml:space="preserve">Models confabulate plausible venues and DOIs, so they must never be asked whether a work is real. The model only transcribes identifiers from the user's text; authoritative metadata services confirm them.</w:t>
      </w:r>
    </w:p>
    <w:p>
      <w:pPr>
        <w:pStyle w:val="Heading3"/>
      </w:pPr>
      <w:r>
        <w:t xml:space="preserve">Sub-step 1 — extract identifiers (model)</w:t>
      </w:r>
    </w:p>
    <w:p>
      <w:pPr>
        <w:spacing w:after="140" w:line="276"/>
      </w:pPr>
      <w:r>
        <w:t xml:space="preserve">Constrain the model to emit only structured identifiers, with grammar-constrained decoding (vLLM guided JSON / llama.cpp GBNF). The identifier-extraction prompt and JSON schema are in section 11.</w:t>
      </w:r>
    </w:p>
    <w:p>
      <w:pPr>
        <w:pStyle w:val="Heading3"/>
      </w:pPr>
      <w:r>
        <w:t xml:space="preserve">Sub-step 2 — verify existence and type (external API, no model)</w:t>
      </w:r>
    </w:p>
    <w:p>
      <w:pPr>
        <w:pStyle w:val="ListParagraph"/>
        <w:numPr>
          <w:ilvl w:val="0"/>
          <w:numId w:val="2"/>
        </w:numPr>
        <w:spacing w:after="80" w:line="276"/>
      </w:pPr>
      <w:r>
        <w:t xml:space="preserve">If a DOI is present, resolve it via Crossref. A clean resolution returns the authoritative title, venue, type and date.</w:t>
      </w:r>
    </w:p>
    <w:p>
      <w:pPr>
        <w:pStyle w:val="ListParagraph"/>
        <w:numPr>
          <w:ilvl w:val="0"/>
          <w:numId w:val="2"/>
        </w:numPr>
        <w:spacing w:after="80" w:line="276"/>
      </w:pPr>
      <w:r>
        <w:t xml:space="preserve">If no DOI, query OpenAlex or Semantic Scholar by title + authors + year, requiring a high-confidence match (near-exact title, author overlap, year within ±1).</w:t>
      </w:r>
    </w:p>
    <w:p>
      <w:pPr>
        <w:pStyle w:val="ListParagraph"/>
        <w:numPr>
          <w:ilvl w:val="0"/>
          <w:numId w:val="2"/>
        </w:numPr>
        <w:spacing w:after="80" w:line="276"/>
      </w:pPr>
      <w:r>
        <w:t xml:space="preserve">For biomedical hazards, PubMed / Europe PMC is the better index.</w:t>
      </w:r>
    </w:p>
    <w:p>
      <w:pPr>
        <w:spacing w:after="140" w:line="276"/>
      </w:pPr>
      <w:r>
        <w:t xml:space="preserve">No match anywhere → </w:t>
      </w:r>
      <w:r>
        <w:rPr>
          <w:b/>
          <w:bCs/>
        </w:rPr>
        <w:t xml:space="preserve">reject: “not a verifiable published work,”</w:t>
      </w:r>
      <w:r>
        <w:t xml:space="preserve"> request a different source. A match carries the API's authoritative venue and type forward — not the user's claimed values, since users mislabel a preprint as a “journal paper.”</w:t>
      </w:r>
    </w:p>
    <w:p>
      <w:pPr>
        <w:pStyle w:val="Heading3"/>
      </w:pPr>
      <w:r>
        <w:t xml:space="preserve">Sub-step 3 — venue-type admissibility</w:t>
      </w:r>
    </w:p>
    <w:p>
      <w:pPr>
        <w:spacing w:after="140" w:line="276"/>
      </w:pPr>
      <w:r>
        <w:t xml:space="preserve">Decide the taxonomy up front, or “other credible articles” becomes a loophole that admits anything: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E7EEF4" w:val="clear"/>
            <w:tcMar>
              <w:top w:type="dxa" w:w="60"/>
              <w:left w:type="dxa" w:w="120"/>
              <w:bottom w:type="dxa" w:w="60"/>
              <w:right w:type="dxa" w:w="120"/>
            </w:tcMar>
          </w:tcPr>
          <w:p>
            <w:r>
              <w:rPr>
                <w:b/>
                <w:bCs/>
              </w:rPr>
              <w:t xml:space="preserve">Source type</w:t>
            </w:r>
          </w:p>
        </w:tc>
        <w:tc>
          <w:tcPr>
            <w:tcW w:type="dxa" w:w="6360"/>
            <w:tcBorders>
              <w:top w:val="single" w:color="BBBBBB" w:sz="1"/>
              <w:left w:val="single" w:color="BBBBBB" w:sz="1"/>
              <w:bottom w:val="single" w:color="BBBBBB" w:sz="1"/>
              <w:right w:val="single" w:color="BBBBBB" w:sz="1"/>
            </w:tcBorders>
            <w:shd w:fill="E7EEF4" w:val="clear"/>
            <w:tcMar>
              <w:top w:type="dxa" w:w="60"/>
              <w:left w:type="dxa" w:w="120"/>
              <w:bottom w:type="dxa" w:w="60"/>
              <w:right w:type="dxa" w:w="120"/>
            </w:tcMar>
          </w:tcPr>
          <w:p>
            <w:r>
              <w:rPr>
                <w:b/>
                <w:bCs/>
              </w:rPr>
              <w:t xml:space="preserve">Decision</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Peer-reviewed journal article</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Admit. Optionally screen against DOAJ to catch predatory venues.</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Peer-reviewed conference proceedings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Admit, but check the actual venue (proceedings vs pay-to-present).</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Government / standards / institutional report (IPCC, USGS, ISO, agencies)</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Admit explicitly — often the strongest and most relevant hazard-policy source.</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Preprint (arXiv, SSRN, bioRxiv)</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Admit-but-flag; treat as weaker than peer-reviewed.</w:t>
            </w:r>
          </w:p>
        </w:tc>
      </w:tr>
      <w:tr>
        <w:tc>
          <w:tcPr>
            <w:tcW w:type="dxa" w:w="30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Blog, news, vendor whitepaper, self-published PDF</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rPr>
              <w:t xml:space="preserve">Reject.</w:t>
            </w:r>
          </w:p>
        </w:tc>
      </w:tr>
    </w:tbl>
    <w:p>
      <w:pPr>
        <w:spacing w:after="60"/>
      </w:pPr>
      <w:r>
        <w:t xml:space="preserve"/>
      </w:r>
    </w:p>
    <w:p>
      <w:pPr>
        <w:spacing w:after="140" w:line="276"/>
      </w:pPr>
      <w:r>
        <w:t xml:space="preserve">Fail here → </w:t>
      </w:r>
      <w:r>
        <w:rPr>
          <w:b/>
          <w:bCs/>
        </w:rPr>
        <w:t xml:space="preserve">reject: “source type not admissible,”</w:t>
      </w:r>
      <w:r>
        <w:t xml:space="preserve"> request a different source.</w:t>
      </w:r>
    </w:p>
    <w:p>
      <w:pPr>
        <w:pStyle w:val="Heading2"/>
      </w:pPr>
      <w:r>
        <w:t xml:space="preserve">7.2 Content retrieval and content gate</w:t>
      </w:r>
    </w:p>
    <w:p>
      <w:pPr>
        <w:spacing w:after="140" w:line="276"/>
      </w:pPr>
      <w:r>
        <w:t xml:space="preserve">A verified DOI proves existence but yields only metadata. To validate the measure against the evidence, retrieve the actual text: prefer the user's uploaded PDF of the verified work, fall back to open-access full text, and if only an abstract is available, proceed on abstract-only while recording that grounding is weaker. Chunk and embed into a transient namespace keyed to the session.</w:t>
      </w:r>
    </w:p>
    <w:p>
      <w:pPr>
        <w:spacing w:after="140" w:line="276"/>
      </w:pPr>
      <w:r>
        <w:t xml:space="preserve">The content gate (rubric-style, model with retrieval) then checks: is the retrieved content relevant to this hazard and measure, parseable, and not in contradiction with the curated KB? A contradiction is a hard flag — surfaced to the user and, in a multi-user deployment, to a human reviewer — never silently accepted. Fail → request a new source (a capped loop; after N attempts, fall through to abstention).</w:t>
      </w:r>
    </w:p>
    <w:p>
      <w:pPr>
        <w:pStyle w:val="Heading2"/>
      </w:pPr>
      <w:r>
        <w:t xml:space="preserve">7.3 Groundedness validation — evidence only</w:t>
      </w:r>
    </w:p>
    <w:p>
      <w:pPr>
        <w:spacing w:after="140" w:line="276"/>
      </w:pPr>
      <w:r>
        <w:t xml:space="preserve">The vetted evidence is the sole support corpus. The curated knowledge base is NOT consulted during this validation. Each validation dimension (relevance, mechanism, justification soundness, evidence quality, contraindications, feasibility) resolves to one of:</w:t>
      </w:r>
    </w:p>
    <w:p>
      <w:pPr>
        <w:pStyle w:val="ListParagraph"/>
        <w:numPr>
          <w:ilvl w:val="0"/>
          <w:numId w:val="2"/>
        </w:numPr>
        <w:spacing w:after="80" w:line="276"/>
      </w:pPr>
      <w:r>
        <w:rPr>
          <w:b/>
          <w:bCs/>
        </w:rPr>
        <w:t xml:space="preserve">SUPPORTED</w:t>
      </w:r>
      <w:r>
        <w:t xml:space="preserve"> — must cite a user-evidence chunk whose reranker score exceeds the floor.</w:t>
      </w:r>
    </w:p>
    <w:p>
      <w:pPr>
        <w:pStyle w:val="ListParagraph"/>
        <w:numPr>
          <w:ilvl w:val="0"/>
          <w:numId w:val="2"/>
        </w:numPr>
        <w:spacing w:after="80" w:line="276"/>
      </w:pPr>
      <w:r>
        <w:rPr>
          <w:b/>
          <w:bCs/>
        </w:rPr>
        <w:t xml:space="preserve">CONTRADICTED</w:t>
      </w:r>
      <w:r>
        <w:t xml:space="preserve"> — must cite the conflicting evidence chunk.</w:t>
      </w:r>
    </w:p>
    <w:p>
      <w:pPr>
        <w:pStyle w:val="ListParagraph"/>
        <w:numPr>
          <w:ilvl w:val="0"/>
          <w:numId w:val="2"/>
        </w:numPr>
        <w:spacing w:after="80" w:line="276"/>
      </w:pPr>
      <w:r>
        <w:rPr>
          <w:b/>
          <w:bCs/>
        </w:rPr>
        <w:t xml:space="preserve">INSUFFICIENT_INFO</w:t>
      </w:r>
      <w:r>
        <w:t xml:space="preserve"> — the evidence does not address this dimension.</w:t>
      </w:r>
    </w:p>
    <w:p>
      <w:pPr>
        <w:spacing w:after="140" w:line="276"/>
      </w:pPr>
      <w:r>
        <w:rPr>
          <w:b/>
          <w:bCs/>
        </w:rPr>
        <w:t xml:space="preserve">Pass condition: </w:t>
      </w:r>
      <w:r>
        <w:t xml:space="preserve">every critical dimension SUPPORTED by the evidence. The pass does not depend on the curated KB.</w:t>
      </w:r>
    </w:p>
    <w:p>
      <w:pPr>
        <w:shd w:fill="FBF0E6" w:val="clear"/>
        <w:spacing w:after="120" w:before="60"/>
        <w:ind w:left="160" w:right="160"/>
      </w:pPr>
      <w:r>
        <w:rPr>
          <w:b/>
          <w:bCs/>
        </w:rPr>
        <w:t xml:space="preserve">Known limitation. </w:t>
      </w:r>
      <w:r>
        <w:t xml:space="preserve">Because the user both proposes the measure and selects the evidence, this design cannot detect a measure that the chosen evidence supports yet the established knowledge base contradicts (the “circularity trap”). It is simpler and cheaper — one corpus, fewer retrieval calls — but provides no contradiction safeguard. Mitigate operationally via the content-gate consistency check (7.2) and human review at KB-promotion time (7.4). The companion document, Variant A (with dual-corpus validation), closes this gap by retaining the curated KB as a contradiction detector in this step.</w:t>
      </w:r>
    </w:p>
    <w:p>
      <w:pPr>
        <w:pStyle w:val="Heading2"/>
      </w:pPr>
      <w:r>
        <w:t xml:space="preserve">7.4 Knowledge-base admission</w:t>
      </w:r>
    </w:p>
    <w:p>
      <w:pPr>
        <w:spacing w:after="140" w:line="276"/>
      </w:pPr>
      <w:r>
        <w:t xml:space="preserve">Only validated evidence is admitted, and never silently into the authoritative space. Write it to a provenance-tagged, quarantined namespace (source: user_contributed, with validation timestamp and context). Future retrievals can weight or filter by provenance, and a later no-evidence validation knows that a supporting chunk came from a user. Promotion from the user-contributed tier into the curated tier should sit behind human review — otherwise one user's barely-passed evidence becomes ground truth for the next.</w:t>
      </w:r>
    </w:p>
    <w:p>
      <w:pPr>
        <w:pStyle w:val="Heading1"/>
      </w:pPr>
      <w:r>
        <w:t xml:space="preserve">8. Step 2B — No-evidence branch</w:t>
      </w:r>
    </w:p>
    <w:p>
      <w:pPr>
        <w:spacing w:after="140" w:line="276"/>
      </w:pPr>
      <w:r>
        <w:t xml:space="preserve">The rubric runs against the main KB only. Note the semantic shift from Step 1: here INSUFFICIENT_INFO on a critical dimension does NOT trigger a follow-up question — clarity is already settled, and more user text will not add KB coverage. It means the KB does not cover this, which maps directly to abstention.</w:t>
      </w:r>
    </w:p>
    <w:p>
      <w:pPr>
        <w:spacing w:after="140" w:line="276"/>
      </w:pPr>
      <w:r>
        <w:rPr>
          <w:b/>
          <w:bCs/>
        </w:rPr>
        <w:t xml:space="preserve">Abstention output: </w:t>
      </w:r>
      <w:r>
        <w:t xml:space="preserve">the system states it lacks the knowledge to conclude because the measure is beyond the scope of the knowledge base. No fabrication, no “based on general principles.” Ideally it names which dimensions fell short, so the user understands that supplying a published source would route them into Step 2A on resubmission. This branch is inherently single-corpus in both document variants — the dual-corpus distinction applies only to the evidence branch.</w:t>
      </w:r>
    </w:p>
    <w:p>
      <w:pPr>
        <w:pStyle w:val="Heading1"/>
      </w:pPr>
      <w:r>
        <w:t xml:space="preserve">9. Step 3 — Grounded synthesis and entailment check</w:t>
      </w:r>
    </w:p>
    <w:p>
      <w:pPr>
        <w:spacing w:after="140" w:line="276"/>
      </w:pPr>
      <w:r>
        <w:t xml:space="preserve">Both passing branches converge here; only the support corpus differs (evidence, or KB). Two sub-steps enforce the no-inference requirement:</w:t>
      </w:r>
    </w:p>
    <w:p>
      <w:pPr>
        <w:pStyle w:val="ListParagraph"/>
        <w:numPr>
          <w:ilvl w:val="0"/>
          <w:numId w:val="2"/>
        </w:numPr>
        <w:spacing w:after="80" w:line="276"/>
      </w:pPr>
      <w:r>
        <w:rPr>
          <w:b/>
          <w:bCs/>
        </w:rPr>
        <w:t xml:space="preserve">Citation-required generation. </w:t>
      </w:r>
      <w:r>
        <w:t xml:space="preserve">The synthesis prompt receives the validated inputs and the retrieved chunks with IDs, and is instructed that every statement must cite a chunk ID or a validated user field; anything not grounded is omitted, not hedged. Output: how the user should think about the measure and what to be careful about.</w:t>
      </w:r>
    </w:p>
    <w:p>
      <w:pPr>
        <w:pStyle w:val="ListParagraph"/>
        <w:numPr>
          <w:ilvl w:val="0"/>
          <w:numId w:val="2"/>
        </w:numPr>
        <w:spacing w:after="80" w:line="276"/>
      </w:pPr>
      <w:r>
        <w:rPr>
          <w:b/>
          <w:bCs/>
        </w:rPr>
        <w:t xml:space="preserve">Entailment check. </w:t>
      </w:r>
      <w:r>
        <w:t xml:space="preserve">The draft is decomposed into atomic claims, and each is verified as entailed by the support corpus using a small NLI model or a strict verification pass. Claims that fail are dropped or flagged. This catches the indirect inferences that slip past the generation prompt — the single most effective guard against plausible-but-ungrounded output from sub-13B models.</w:t>
      </w:r>
    </w:p>
    <w:p>
      <w:pPr>
        <w:spacing w:after="140" w:line="276"/>
      </w:pPr>
      <w:r>
        <w:t xml:space="preserve">If the conclusion leaned on freshly-admitted user evidence, signal that to the user — a conclusion grounded in user-contributed evidence carries different reliability than one grounded in the curated base.</w:t>
      </w:r>
    </w:p>
    <w:p>
      <w:pPr>
        <w:pStyle w:val="Heading1"/>
      </w:pPr>
      <w:r>
        <w:t xml:space="preserve">10. Confidence / scoring mechanism</w:t>
      </w:r>
    </w:p>
    <w:p>
      <w:pPr>
        <w:spacing w:after="140" w:line="276"/>
      </w:pPr>
      <w:r>
        <w:t xml:space="preserve">Compose the score from signals rather than a single model number:</w:t>
      </w:r>
    </w:p>
    <w:p>
      <w:pPr>
        <w:pStyle w:val="ListParagraph"/>
        <w:numPr>
          <w:ilvl w:val="0"/>
          <w:numId w:val="2"/>
        </w:numPr>
        <w:spacing w:after="80" w:line="276"/>
      </w:pPr>
      <w:r>
        <w:rPr>
          <w:b/>
          <w:bCs/>
        </w:rPr>
        <w:t xml:space="preserve">Rubric coverage </w:t>
      </w:r>
      <w:r>
        <w:t xml:space="preserve">— fraction of critical dimensions resolved to SUPPORTED, with a hard veto if any is CONTRADICTED. This is the primary “are we done” gate.</w:t>
      </w:r>
    </w:p>
    <w:p>
      <w:pPr>
        <w:pStyle w:val="ListParagraph"/>
        <w:numPr>
          <w:ilvl w:val="0"/>
          <w:numId w:val="2"/>
        </w:numPr>
        <w:spacing w:after="80" w:line="276"/>
      </w:pPr>
      <w:r>
        <w:rPr>
          <w:b/>
          <w:bCs/>
        </w:rPr>
        <w:t xml:space="preserve">Retrieval support </w:t>
      </w:r>
      <w:r>
        <w:t xml:space="preserve">— the reranker score of the top chunk backing each SUPPORTED verdict, above a minimum floor. A dimension cannot be SUPPORTED if retrieval returned nothing relevant; this blocks invented support.</w:t>
      </w:r>
    </w:p>
    <w:p>
      <w:pPr>
        <w:pStyle w:val="ListParagraph"/>
        <w:numPr>
          <w:ilvl w:val="0"/>
          <w:numId w:val="2"/>
        </w:numPr>
        <w:spacing w:after="80" w:line="276"/>
      </w:pPr>
      <w:r>
        <w:rPr>
          <w:b/>
          <w:bCs/>
        </w:rPr>
        <w:t xml:space="preserve">Verdict stability (optional) </w:t>
      </w:r>
      <w:r>
        <w:t xml:space="preserve">— self-consistency: sample each verdict 3–5 times at modest temperature and take the majority; disagreement is a genuine uncertainty signal. More reliable than logprobs on small models, at N× cost. Token logprobs (via vLLM/TGI) are a cheaper alternative.</w:t>
      </w:r>
    </w:p>
    <w:p>
      <w:pPr>
        <w:spacing w:after="140" w:line="276"/>
      </w:pPr>
      <w:r>
        <w:t xml:space="preserve">The “threshold” is a rule over these signals (all critical dimensions SUPPORTED, none CONTRADICTED, each support above the reranker floor), not a single number to eyeball.</w:t>
      </w:r>
    </w:p>
    <w:p>
      <w:pPr>
        <w:pStyle w:val="Heading1"/>
      </w:pPr>
      <w:r>
        <w:t xml:space="preserve">11. Identifier-extraction prompt and verification logic</w:t>
      </w:r>
    </w:p>
    <w:p>
      <w:pPr>
        <w:spacing w:after="140" w:line="276"/>
      </w:pPr>
      <w:r>
        <w:t xml:space="preserve">Extraction prompt (model output constrained to JSON):</w:t>
      </w:r>
    </w:p>
    <w:p>
      <w:pPr>
        <w:shd w:fill="F4F4F2" w:val="clear"/>
        <w:spacing w:after="0" w:before="60" w:line="256"/>
        <w:ind w:left="200" w:right="200"/>
      </w:pPr>
      <w:r>
        <w:rPr>
          <w:rFonts w:ascii="Consolas" w:cs="Consolas" w:eastAsia="Consolas" w:hAnsi="Consolas"/>
          <w:sz w:val="18"/>
          <w:szCs w:val="18"/>
        </w:rPr>
        <w:t xml:space="preserve">SYSTEM: You extract bibliographic identifiers from a user-supplied</w:t>
      </w:r>
    </w:p>
    <w:p>
      <w:pPr>
        <w:shd w:fill="F4F4F2" w:val="clear"/>
        <w:spacing w:after="0" w:before="0" w:line="256"/>
        <w:ind w:left="200" w:right="200"/>
      </w:pPr>
      <w:r>
        <w:rPr>
          <w:rFonts w:ascii="Consolas" w:cs="Consolas" w:eastAsia="Consolas" w:hAnsi="Consolas"/>
          <w:sz w:val="18"/>
          <w:szCs w:val="18"/>
        </w:rPr>
        <w:t xml:space="preserve">reference. You do NOT assess credibility, existence, or quality —</w:t>
      </w:r>
    </w:p>
    <w:p>
      <w:pPr>
        <w:shd w:fill="F4F4F2" w:val="clear"/>
        <w:spacing w:after="0" w:before="0" w:line="256"/>
        <w:ind w:left="200" w:right="200"/>
      </w:pPr>
      <w:r>
        <w:rPr>
          <w:rFonts w:ascii="Consolas" w:cs="Consolas" w:eastAsia="Consolas" w:hAnsi="Consolas"/>
          <w:sz w:val="18"/>
          <w:szCs w:val="18"/>
        </w:rPr>
        <w:t xml:space="preserve">only transcribe what is present. If a field is absent, use null.</w:t>
      </w:r>
    </w:p>
    <w:p>
      <w:pPr>
        <w:shd w:fill="F4F4F2" w:val="clear"/>
        <w:spacing w:after="0" w:before="0" w:line="256"/>
        <w:ind w:left="200" w:right="200"/>
      </w:pPr>
      <w:r>
        <w:rPr>
          <w:rFonts w:ascii="Consolas" w:cs="Consolas" w:eastAsia="Consolas" w:hAnsi="Consolas"/>
          <w:sz w:val="18"/>
          <w:szCs w:val="18"/>
        </w:rPr>
        <w:t xml:space="preserve">Never infer or complete a DOI, year, or venue that is not explicitly</w:t>
      </w:r>
    </w:p>
    <w:p>
      <w:pPr>
        <w:shd w:fill="F4F4F2" w:val="clear"/>
        <w:spacing w:after="0" w:before="0" w:line="256"/>
        <w:ind w:left="200" w:right="200"/>
      </w:pPr>
      <w:r>
        <w:rPr>
          <w:rFonts w:ascii="Consolas" w:cs="Consolas" w:eastAsia="Consolas" w:hAnsi="Consolas"/>
          <w:sz w:val="18"/>
          <w:szCs w:val="18"/>
        </w:rPr>
        <w:t xml:space="preserve">present in the input. Output ONLY valid JSON matching the schema.</w:t>
      </w:r>
    </w:p>
    <w:p>
      <w:pPr>
        <w:shd w:fill="F4F4F2" w:val="clear"/>
        <w:spacing w:after="0" w:before="0" w:line="256"/>
        <w:ind w:left="200" w:right="200"/>
      </w:pPr>
      <w:r>
        <w:rPr>
          <w:rFonts w:ascii="Consolas" w:cs="Consolas" w:eastAsia="Consolas" w:hAnsi="Consolas"/>
          <w:sz w:val="18"/>
          <w:szCs w:val="18"/>
        </w:rPr>
        <w:t xml:space="preserve"> </w:t>
      </w:r>
    </w:p>
    <w:p>
      <w:pPr>
        <w:shd w:fill="F4F4F2" w:val="clear"/>
        <w:spacing w:after="0" w:before="0" w:line="256"/>
        <w:ind w:left="200" w:right="200"/>
      </w:pPr>
      <w:r>
        <w:rPr>
          <w:rFonts w:ascii="Consolas" w:cs="Consolas" w:eastAsia="Consolas" w:hAnsi="Consolas"/>
          <w:sz w:val="18"/>
          <w:szCs w:val="18"/>
        </w:rPr>
        <w:t xml:space="preserve">Schema:</w:t>
      </w:r>
    </w:p>
    <w:p>
      <w:pPr>
        <w:shd w:fill="F4F4F2" w:val="clear"/>
        <w:spacing w:after="0" w:before="0" w:line="256"/>
        <w:ind w:left="200" w:right="200"/>
      </w:pPr>
      <w:r>
        <w:rPr>
          <w:rFonts w:ascii="Consolas" w:cs="Consolas" w:eastAsia="Consolas" w:hAnsi="Consolas"/>
          <w:sz w:val="18"/>
          <w:szCs w:val="18"/>
        </w:rPr>
        <w:t xml:space="preserve">{</w:t>
      </w:r>
    </w:p>
    <w:p>
      <w:pPr>
        <w:shd w:fill="F4F4F2" w:val="clear"/>
        <w:spacing w:after="0" w:before="0" w:line="256"/>
        <w:ind w:left="200" w:right="200"/>
      </w:pPr>
      <w:r>
        <w:rPr>
          <w:rFonts w:ascii="Consolas" w:cs="Consolas" w:eastAsia="Consolas" w:hAnsi="Consolas"/>
          <w:sz w:val="18"/>
          <w:szCs w:val="18"/>
        </w:rPr>
        <w:t xml:space="preserve">  "title":       string | null,</w:t>
      </w:r>
    </w:p>
    <w:p>
      <w:pPr>
        <w:shd w:fill="F4F4F2" w:val="clear"/>
        <w:spacing w:after="0" w:before="0" w:line="256"/>
        <w:ind w:left="200" w:right="200"/>
      </w:pPr>
      <w:r>
        <w:rPr>
          <w:rFonts w:ascii="Consolas" w:cs="Consolas" w:eastAsia="Consolas" w:hAnsi="Consolas"/>
          <w:sz w:val="18"/>
          <w:szCs w:val="18"/>
        </w:rPr>
        <w:t xml:space="preserve">  "authors":     [string],</w:t>
      </w:r>
    </w:p>
    <w:p>
      <w:pPr>
        <w:shd w:fill="F4F4F2" w:val="clear"/>
        <w:spacing w:after="0" w:before="0" w:line="256"/>
        <w:ind w:left="200" w:right="200"/>
      </w:pPr>
      <w:r>
        <w:rPr>
          <w:rFonts w:ascii="Consolas" w:cs="Consolas" w:eastAsia="Consolas" w:hAnsi="Consolas"/>
          <w:sz w:val="18"/>
          <w:szCs w:val="18"/>
        </w:rPr>
        <w:t xml:space="preserve">  "year":        integer | null,</w:t>
      </w:r>
    </w:p>
    <w:p>
      <w:pPr>
        <w:shd w:fill="F4F4F2" w:val="clear"/>
        <w:spacing w:after="0" w:before="0" w:line="256"/>
        <w:ind w:left="200" w:right="200"/>
      </w:pPr>
      <w:r>
        <w:rPr>
          <w:rFonts w:ascii="Consolas" w:cs="Consolas" w:eastAsia="Consolas" w:hAnsi="Consolas"/>
          <w:sz w:val="18"/>
          <w:szCs w:val="18"/>
        </w:rPr>
        <w:t xml:space="preserve">  "doi":         string | null,</w:t>
      </w:r>
    </w:p>
    <w:p>
      <w:pPr>
        <w:shd w:fill="F4F4F2" w:val="clear"/>
        <w:spacing w:after="0" w:before="0" w:line="256"/>
        <w:ind w:left="200" w:right="200"/>
      </w:pPr>
      <w:r>
        <w:rPr>
          <w:rFonts w:ascii="Consolas" w:cs="Consolas" w:eastAsia="Consolas" w:hAnsi="Consolas"/>
          <w:sz w:val="18"/>
          <w:szCs w:val="18"/>
        </w:rPr>
        <w:t xml:space="preserve">  "venue_name":  string | null,</w:t>
      </w:r>
    </w:p>
    <w:p>
      <w:pPr>
        <w:shd w:fill="F4F4F2" w:val="clear"/>
        <w:spacing w:after="0" w:before="0" w:line="256"/>
        <w:ind w:left="200" w:right="200"/>
      </w:pPr>
      <w:r>
        <w:rPr>
          <w:rFonts w:ascii="Consolas" w:cs="Consolas" w:eastAsia="Consolas" w:hAnsi="Consolas"/>
          <w:sz w:val="18"/>
          <w:szCs w:val="18"/>
        </w:rPr>
        <w:t xml:space="preserve">  "claimed_type": "journal" | "conference" | "preprint"</w:t>
      </w:r>
    </w:p>
    <w:p>
      <w:pPr>
        <w:shd w:fill="F4F4F2" w:val="clear"/>
        <w:spacing w:after="0" w:before="0" w:line="256"/>
        <w:ind w:left="200" w:right="200"/>
      </w:pPr>
      <w:r>
        <w:rPr>
          <w:rFonts w:ascii="Consolas" w:cs="Consolas" w:eastAsia="Consolas" w:hAnsi="Consolas"/>
          <w:sz w:val="18"/>
          <w:szCs w:val="18"/>
        </w:rPr>
        <w:t xml:space="preserve">                 | "report" | "other" | null,</w:t>
      </w:r>
    </w:p>
    <w:p>
      <w:pPr>
        <w:shd w:fill="F4F4F2" w:val="clear"/>
        <w:spacing w:after="0" w:before="0" w:line="256"/>
        <w:ind w:left="200" w:right="200"/>
      </w:pPr>
      <w:r>
        <w:rPr>
          <w:rFonts w:ascii="Consolas" w:cs="Consolas" w:eastAsia="Consolas" w:hAnsi="Consolas"/>
          <w:sz w:val="18"/>
          <w:szCs w:val="18"/>
        </w:rPr>
        <w:t xml:space="preserve">  "raw_identifier_present": boolean</w:t>
      </w:r>
    </w:p>
    <w:p>
      <w:pPr>
        <w:shd w:fill="F4F4F2" w:val="clear"/>
        <w:spacing w:after="0" w:before="0" w:line="256"/>
        <w:ind w:left="200" w:right="200"/>
      </w:pPr>
      <w:r>
        <w:rPr>
          <w:rFonts w:ascii="Consolas" w:cs="Consolas" w:eastAsia="Consolas" w:hAnsi="Consolas"/>
          <w:sz w:val="18"/>
          <w:szCs w:val="18"/>
        </w:rPr>
        <w:t xml:space="preserve">}</w:t>
      </w:r>
    </w:p>
    <w:p>
      <w:pPr>
        <w:spacing w:after="60"/>
      </w:pPr>
      <w:r>
        <w:t xml:space="preserve"/>
      </w:r>
    </w:p>
    <w:p>
      <w:pPr>
        <w:spacing w:after="140" w:line="276"/>
      </w:pPr>
      <w:r>
        <w:t xml:space="preserve">Verification logic (pure code against external metadata — no model judgment):</w:t>
      </w:r>
    </w:p>
    <w:p>
      <w:pPr>
        <w:shd w:fill="F4F4F2" w:val="clear"/>
        <w:spacing w:after="0" w:before="60" w:line="256"/>
        <w:ind w:left="200" w:right="200"/>
      </w:pPr>
      <w:r>
        <w:rPr>
          <w:rFonts w:ascii="Consolas" w:cs="Consolas" w:eastAsia="Consolas" w:hAnsi="Consolas"/>
          <w:sz w:val="18"/>
          <w:szCs w:val="18"/>
        </w:rPr>
        <w:t xml:space="preserve">ids = extract_identifiers(user_evidence)        # model + grammar</w:t>
      </w:r>
    </w:p>
    <w:p>
      <w:pPr>
        <w:shd w:fill="F4F4F2" w:val="clear"/>
        <w:spacing w:after="0" w:before="0" w:line="256"/>
        <w:ind w:left="200" w:right="200"/>
      </w:pPr>
      <w:r>
        <w:rPr>
          <w:rFonts w:ascii="Consolas" w:cs="Consolas" w:eastAsia="Consolas" w:hAnsi="Consolas"/>
          <w:sz w:val="18"/>
          <w:szCs w:val="18"/>
        </w:rPr>
        <w:t xml:space="preserve"> </w:t>
      </w:r>
    </w:p>
    <w:p>
      <w:pPr>
        <w:shd w:fill="F4F4F2" w:val="clear"/>
        <w:spacing w:after="0" w:before="0" w:line="256"/>
        <w:ind w:left="200" w:right="200"/>
      </w:pPr>
      <w:r>
        <w:rPr>
          <w:rFonts w:ascii="Consolas" w:cs="Consolas" w:eastAsia="Consolas" w:hAnsi="Consolas"/>
          <w:sz w:val="18"/>
          <w:szCs w:val="18"/>
        </w:rPr>
        <w:t xml:space="preserve">if ids.doi:</w:t>
      </w:r>
    </w:p>
    <w:p>
      <w:pPr>
        <w:shd w:fill="F4F4F2" w:val="clear"/>
        <w:spacing w:after="0" w:before="0" w:line="256"/>
        <w:ind w:left="200" w:right="200"/>
      </w:pPr>
      <w:r>
        <w:rPr>
          <w:rFonts w:ascii="Consolas" w:cs="Consolas" w:eastAsia="Consolas" w:hAnsi="Consolas"/>
          <w:sz w:val="18"/>
          <w:szCs w:val="18"/>
        </w:rPr>
        <w:t xml:space="preserve">    meta = crossref_resolve(ids.doi)</w:t>
      </w:r>
    </w:p>
    <w:p>
      <w:pPr>
        <w:shd w:fill="F4F4F2" w:val="clear"/>
        <w:spacing w:after="0" w:before="0" w:line="256"/>
        <w:ind w:left="200" w:right="200"/>
      </w:pPr>
      <w:r>
        <w:rPr>
          <w:rFonts w:ascii="Consolas" w:cs="Consolas" w:eastAsia="Consolas" w:hAnsi="Consolas"/>
          <w:sz w:val="18"/>
          <w:szCs w:val="18"/>
        </w:rPr>
        <w:t xml:space="preserve">elif ids.title:</w:t>
      </w:r>
    </w:p>
    <w:p>
      <w:pPr>
        <w:shd w:fill="F4F4F2" w:val="clear"/>
        <w:spacing w:after="0" w:before="0" w:line="256"/>
        <w:ind w:left="200" w:right="200"/>
      </w:pPr>
      <w:r>
        <w:rPr>
          <w:rFonts w:ascii="Consolas" w:cs="Consolas" w:eastAsia="Consolas" w:hAnsi="Consolas"/>
          <w:sz w:val="18"/>
          <w:szCs w:val="18"/>
        </w:rPr>
        <w:t xml:space="preserve">    meta = openalex_match(ids.title, ids.authors, ids.year)</w:t>
      </w:r>
    </w:p>
    <w:p>
      <w:pPr>
        <w:shd w:fill="F4F4F2" w:val="clear"/>
        <w:spacing w:after="0" w:before="0" w:line="256"/>
        <w:ind w:left="200" w:right="200"/>
      </w:pPr>
      <w:r>
        <w:rPr>
          <w:rFonts w:ascii="Consolas" w:cs="Consolas" w:eastAsia="Consolas" w:hAnsi="Consolas"/>
          <w:sz w:val="18"/>
          <w:szCs w:val="18"/>
        </w:rPr>
        <w:t xml:space="preserve">else:</w:t>
      </w:r>
    </w:p>
    <w:p>
      <w:pPr>
        <w:shd w:fill="F4F4F2" w:val="clear"/>
        <w:spacing w:after="0" w:before="0" w:line="256"/>
        <w:ind w:left="200" w:right="200"/>
      </w:pPr>
      <w:r>
        <w:rPr>
          <w:rFonts w:ascii="Consolas" w:cs="Consolas" w:eastAsia="Consolas" w:hAnsi="Consolas"/>
          <w:sz w:val="18"/>
          <w:szCs w:val="18"/>
        </w:rPr>
        <w:t xml:space="preserve">    return REJECT('not a verifiable published work')</w:t>
      </w:r>
    </w:p>
    <w:p>
      <w:pPr>
        <w:shd w:fill="F4F4F2" w:val="clear"/>
        <w:spacing w:after="0" w:before="0" w:line="256"/>
        <w:ind w:left="200" w:right="200"/>
      </w:pPr>
      <w:r>
        <w:rPr>
          <w:rFonts w:ascii="Consolas" w:cs="Consolas" w:eastAsia="Consolas" w:hAnsi="Consolas"/>
          <w:sz w:val="18"/>
          <w:szCs w:val="18"/>
        </w:rPr>
        <w:t xml:space="preserve"> </w:t>
      </w:r>
    </w:p>
    <w:p>
      <w:pPr>
        <w:shd w:fill="F4F4F2" w:val="clear"/>
        <w:spacing w:after="0" w:before="0" w:line="256"/>
        <w:ind w:left="200" w:right="200"/>
      </w:pPr>
      <w:r>
        <w:rPr>
          <w:rFonts w:ascii="Consolas" w:cs="Consolas" w:eastAsia="Consolas" w:hAnsi="Consolas"/>
          <w:sz w:val="18"/>
          <w:szCs w:val="18"/>
        </w:rPr>
        <w:t xml:space="preserve">if meta is None or meta.match_confidence &lt; THRESHOLD:</w:t>
      </w:r>
    </w:p>
    <w:p>
      <w:pPr>
        <w:shd w:fill="F4F4F2" w:val="clear"/>
        <w:spacing w:after="0" w:before="0" w:line="256"/>
        <w:ind w:left="200" w:right="200"/>
      </w:pPr>
      <w:r>
        <w:rPr>
          <w:rFonts w:ascii="Consolas" w:cs="Consolas" w:eastAsia="Consolas" w:hAnsi="Consolas"/>
          <w:sz w:val="18"/>
          <w:szCs w:val="18"/>
        </w:rPr>
        <w:t xml:space="preserve">    return REJECT('not a verifiable published work')</w:t>
      </w:r>
    </w:p>
    <w:p>
      <w:pPr>
        <w:shd w:fill="F4F4F2" w:val="clear"/>
        <w:spacing w:after="0" w:before="0" w:line="256"/>
        <w:ind w:left="200" w:right="200"/>
      </w:pPr>
      <w:r>
        <w:rPr>
          <w:rFonts w:ascii="Consolas" w:cs="Consolas" w:eastAsia="Consolas" w:hAnsi="Consolas"/>
          <w:sz w:val="18"/>
          <w:szCs w:val="18"/>
        </w:rPr>
        <w:t xml:space="preserve"> </w:t>
      </w:r>
    </w:p>
    <w:p>
      <w:pPr>
        <w:shd w:fill="F4F4F2" w:val="clear"/>
        <w:spacing w:after="0" w:before="0" w:line="256"/>
        <w:ind w:left="200" w:right="200"/>
      </w:pPr>
      <w:r>
        <w:rPr>
          <w:rFonts w:ascii="Consolas" w:cs="Consolas" w:eastAsia="Consolas" w:hAnsi="Consolas"/>
          <w:sz w:val="18"/>
          <w:szCs w:val="18"/>
        </w:rPr>
        <w:t xml:space="preserve">vtype = classify_venue(meta.type, meta.venue)   # use API values</w:t>
      </w:r>
    </w:p>
    <w:p>
      <w:pPr>
        <w:shd w:fill="F4F4F2" w:val="clear"/>
        <w:spacing w:after="0" w:before="0" w:line="256"/>
        <w:ind w:left="200" w:right="200"/>
      </w:pPr>
      <w:r>
        <w:rPr>
          <w:rFonts w:ascii="Consolas" w:cs="Consolas" w:eastAsia="Consolas" w:hAnsi="Consolas"/>
          <w:sz w:val="18"/>
          <w:szCs w:val="18"/>
        </w:rPr>
        <w:t xml:space="preserve">if vtype in {'journal', 'proceedings', 'gov_report'}:</w:t>
      </w:r>
    </w:p>
    <w:p>
      <w:pPr>
        <w:shd w:fill="F4F4F2" w:val="clear"/>
        <w:spacing w:after="0" w:before="0" w:line="256"/>
        <w:ind w:left="200" w:right="200"/>
      </w:pPr>
      <w:r>
        <w:rPr>
          <w:rFonts w:ascii="Consolas" w:cs="Consolas" w:eastAsia="Consolas" w:hAnsi="Consolas"/>
          <w:sz w:val="18"/>
          <w:szCs w:val="18"/>
        </w:rPr>
        <w:t xml:space="preserve">    return ADMIT(meta)</w:t>
      </w:r>
    </w:p>
    <w:p>
      <w:pPr>
        <w:shd w:fill="F4F4F2" w:val="clear"/>
        <w:spacing w:after="0" w:before="0" w:line="256"/>
        <w:ind w:left="200" w:right="200"/>
      </w:pPr>
      <w:r>
        <w:rPr>
          <w:rFonts w:ascii="Consolas" w:cs="Consolas" w:eastAsia="Consolas" w:hAnsi="Consolas"/>
          <w:sz w:val="18"/>
          <w:szCs w:val="18"/>
        </w:rPr>
        <w:t xml:space="preserve">elif vtype == 'preprint':</w:t>
      </w:r>
    </w:p>
    <w:p>
      <w:pPr>
        <w:shd w:fill="F4F4F2" w:val="clear"/>
        <w:spacing w:after="0" w:before="0" w:line="256"/>
        <w:ind w:left="200" w:right="200"/>
      </w:pPr>
      <w:r>
        <w:rPr>
          <w:rFonts w:ascii="Consolas" w:cs="Consolas" w:eastAsia="Consolas" w:hAnsi="Consolas"/>
          <w:sz w:val="18"/>
          <w:szCs w:val="18"/>
        </w:rPr>
        <w:t xml:space="preserve">    return ADMIT_FLAGGED(meta)</w:t>
      </w:r>
    </w:p>
    <w:p>
      <w:pPr>
        <w:shd w:fill="F4F4F2" w:val="clear"/>
        <w:spacing w:after="0" w:before="0" w:line="256"/>
        <w:ind w:left="200" w:right="200"/>
      </w:pPr>
      <w:r>
        <w:rPr>
          <w:rFonts w:ascii="Consolas" w:cs="Consolas" w:eastAsia="Consolas" w:hAnsi="Consolas"/>
          <w:sz w:val="18"/>
          <w:szCs w:val="18"/>
        </w:rPr>
        <w:t xml:space="preserve">else:</w:t>
      </w:r>
    </w:p>
    <w:p>
      <w:pPr>
        <w:shd w:fill="F4F4F2" w:val="clear"/>
        <w:spacing w:after="0" w:before="0" w:line="256"/>
        <w:ind w:left="200" w:right="200"/>
      </w:pPr>
      <w:r>
        <w:rPr>
          <w:rFonts w:ascii="Consolas" w:cs="Consolas" w:eastAsia="Consolas" w:hAnsi="Consolas"/>
          <w:sz w:val="18"/>
          <w:szCs w:val="18"/>
        </w:rPr>
        <w:t xml:space="preserve">    return REJECT('source type not admissible')</w:t>
      </w:r>
    </w:p>
    <w:p>
      <w:pPr>
        <w:pStyle w:val="Heading1"/>
      </w:pPr>
      <w:r>
        <w:t xml:space="preserve">12. Model notes (Qwen / Mistral-Nemo / Llama)</w:t>
      </w:r>
    </w:p>
    <w:p>
      <w:pPr>
        <w:spacing w:after="140" w:line="276"/>
      </w:pPr>
      <w:r>
        <w:t xml:space="preserve">All three families are reasonable self-hosted choices. Recent Qwen and Llama have the strongest structured-output and tool-calling behavior; Mistral-Nemo (12B) supports function calling but should be grammar-constrained regardless. Decompose into per-stage prompts rather than one mega-prompt — small models degrade fast when juggling retrieval, scoring, question generation and synthesis in a single call. For the entailment check, a dedicated small NLI model is cheaper and better-calibrated than reusing the LLM. Logprobs and guided decoding are available across all three via vLLM/TGI, so the confidence mechanisms are not vendor-locked. Expect the strict-grounding requirement to be the part most likely to leak on sub-13B models; the rubric-plus-entailment scaffolding is doing the heavy lifting precisely because the base models are not trustworthy on faithfulness alone.</w:t>
      </w:r>
    </w:p>
    <w:p>
      <w:pPr>
        <w:pStyle w:val="Heading1"/>
      </w:pPr>
      <w:r>
        <w:t xml:space="preserve">13. Deployment considerations</w:t>
      </w:r>
    </w:p>
    <w:p>
      <w:pPr>
        <w:spacing w:after="140" w:line="276"/>
      </w:pPr>
      <w:r>
        <w:rPr>
          <w:b/>
          <w:bCs/>
        </w:rPr>
        <w:t xml:space="preserve">Network posture. </w:t>
      </w:r>
      <w:r>
        <w:t xml:space="preserve">Provenance verification (Crossref, OpenAlex, PubMed) needs network access at inference time. If the deployment is air-gapped — which self-hosting on a local vector DB sometimes implies — DOI resolution cannot run live; the fallback is a locally mirrored metadata index or a curated venue allowlist (more maintenance, same guarantee). Settle this before committing to the verification design.</w:t>
      </w:r>
    </w:p>
    <w:p>
      <w:pPr>
        <w:spacing w:after="140" w:line="276"/>
      </w:pPr>
      <w:r>
        <w:rPr>
          <w:b/>
          <w:bCs/>
        </w:rPr>
        <w:t xml:space="preserve">Loop caps. </w:t>
      </w:r>
      <w:r>
        <w:t xml:space="preserve">The clarity loop, the evidence-triage “request new source” loop, and the Step 2A content/validation retries each need a turn cap, with abstention as the terminal fallback so no path can spin indefinitely.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Mitigation Validation Pipeline — Variant B (single-corpus)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2026-06-06T13:24:07.661Z</dcterms:created>
  <dcterms:modified xsi:type="dcterms:W3CDTF">2026-06-06T13:24:07.661Z</dcterms:modified>
</cp:coreProperties>
</file>

<file path=docProps/custom.xml><?xml version="1.0" encoding="utf-8"?>
<Properties xmlns="http://schemas.openxmlformats.org/officeDocument/2006/custom-properties" xmlns:vt="http://schemas.openxmlformats.org/officeDocument/2006/docPropsVTypes"/>
</file>