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BA22A8" w14:textId="77777777" w:rsidR="00ED5CC3" w:rsidRPr="008B7999" w:rsidRDefault="00ED5CC3" w:rsidP="00ED5CC3">
      <w:pPr>
        <w:rPr>
          <w:lang w:val="en-GB"/>
        </w:rPr>
      </w:pPr>
    </w:p>
    <w:p w14:paraId="3FD06F42" w14:textId="77777777" w:rsidR="00ED5CC3" w:rsidRPr="008B7999" w:rsidRDefault="00ED5CC3" w:rsidP="00ED5CC3">
      <w:pPr>
        <w:rPr>
          <w:lang w:val="en-GB"/>
        </w:rPr>
      </w:pPr>
    </w:p>
    <w:p w14:paraId="3A4903DB" w14:textId="77777777" w:rsidR="00ED5CC3" w:rsidRPr="008B7999" w:rsidRDefault="00ED5CC3" w:rsidP="00ED5CC3">
      <w:pPr>
        <w:jc w:val="center"/>
        <w:rPr>
          <w:lang w:val="en-GB"/>
        </w:rPr>
      </w:pPr>
      <w:r w:rsidRPr="008B7999">
        <w:rPr>
          <w:noProof/>
          <w:lang w:val="es-ES" w:eastAsia="es-ES"/>
        </w:rPr>
        <w:drawing>
          <wp:inline distT="0" distB="0" distL="0" distR="0" wp14:anchorId="26EF4530" wp14:editId="443E12C3">
            <wp:extent cx="2020828" cy="1335027"/>
            <wp:effectExtent l="0" t="0" r="0" b="0"/>
            <wp:docPr id="240460729" name="Picture 1" descr="A logo with colorful circl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60729" name="Picture 1" descr="A logo with colorful circles and letter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20828" cy="1335027"/>
                    </a:xfrm>
                    <a:prstGeom prst="rect">
                      <a:avLst/>
                    </a:prstGeom>
                  </pic:spPr>
                </pic:pic>
              </a:graphicData>
            </a:graphic>
          </wp:inline>
        </w:drawing>
      </w:r>
    </w:p>
    <w:p w14:paraId="1E25A9F9" w14:textId="77777777" w:rsidR="00ED5CC3" w:rsidRPr="008B7999" w:rsidRDefault="00ED5CC3" w:rsidP="00ED5CC3">
      <w:pPr>
        <w:rPr>
          <w:lang w:val="en-GB"/>
        </w:rPr>
      </w:pPr>
    </w:p>
    <w:p w14:paraId="25F67EE4" w14:textId="77777777" w:rsidR="00ED5CC3" w:rsidRPr="008B7999" w:rsidRDefault="00ED5CC3" w:rsidP="00ED5CC3">
      <w:pPr>
        <w:rPr>
          <w:lang w:val="en-GB"/>
        </w:rPr>
      </w:pPr>
    </w:p>
    <w:p w14:paraId="7C6EA49A" w14:textId="77777777" w:rsidR="00ED5CC3" w:rsidRPr="008B7999" w:rsidRDefault="00ED5CC3" w:rsidP="00ED5CC3">
      <w:pPr>
        <w:rPr>
          <w:lang w:val="en-GB"/>
        </w:rPr>
      </w:pPr>
    </w:p>
    <w:p w14:paraId="3BAD957E" w14:textId="7921A308" w:rsidR="00ED5CC3" w:rsidRPr="008B7999" w:rsidRDefault="008D4155" w:rsidP="00ED5CC3">
      <w:pPr>
        <w:rPr>
          <w:lang w:val="en-GB"/>
        </w:rPr>
      </w:pPr>
      <w:r>
        <w:rPr>
          <w:noProof/>
          <w:lang w:val="es-ES" w:eastAsia="es-ES"/>
        </w:rPr>
        <mc:AlternateContent>
          <mc:Choice Requires="wps">
            <w:drawing>
              <wp:anchor distT="0" distB="0" distL="114300" distR="114300" simplePos="0" relativeHeight="251660288" behindDoc="0" locked="0" layoutInCell="1" allowOverlap="1" wp14:anchorId="4F3C7906" wp14:editId="473FE42E">
                <wp:simplePos x="0" y="0"/>
                <wp:positionH relativeFrom="column">
                  <wp:posOffset>7620</wp:posOffset>
                </wp:positionH>
                <wp:positionV relativeFrom="paragraph">
                  <wp:posOffset>255270</wp:posOffset>
                </wp:positionV>
                <wp:extent cx="6004560" cy="635"/>
                <wp:effectExtent l="0" t="38100" r="34290" b="37465"/>
                <wp:wrapNone/>
                <wp:docPr id="44057606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4560" cy="635"/>
                        </a:xfrm>
                        <a:prstGeom prst="straightConnector1">
                          <a:avLst/>
                        </a:prstGeom>
                        <a:noFill/>
                        <a:ln w="76200">
                          <a:solidFill>
                            <a:schemeClr val="accent1">
                              <a:lumMod val="50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xmlns:pic="http://schemas.openxmlformats.org/drawingml/2006/picture" xmlns:a14="http://schemas.microsoft.com/office/drawing/2010/main">
            <w:pict>
              <v:shapetype id="_x0000_t32" coordsize="21600,21600" o:oned="t" filled="f" o:spt="32" path="m,l21600,21600e" w14:anchorId="01C20427">
                <v:path fillok="f" arrowok="t" o:connecttype="none"/>
                <o:lock v:ext="edit" shapetype="t"/>
              </v:shapetype>
              <v:shape id="Straight Arrow Connector 1" style="position:absolute;margin-left:.6pt;margin-top:20.1pt;width:472.8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a2f40 [1604]" strokeweight="6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"/>
            </w:pict>
          </mc:Fallback>
        </mc:AlternateContent>
      </w:r>
    </w:p>
    <w:p w14:paraId="0D4CCBD5" w14:textId="77777777" w:rsidR="00ED5CC3" w:rsidRPr="008B7999" w:rsidRDefault="00ED5CC3" w:rsidP="00ED5CC3">
      <w:pPr>
        <w:rPr>
          <w:lang w:val="en-GB"/>
        </w:rPr>
      </w:pPr>
    </w:p>
    <w:p w14:paraId="563461AD" w14:textId="77777777" w:rsidR="00ED5CC3" w:rsidRPr="008B7999" w:rsidRDefault="00ED5CC3" w:rsidP="00ED5CC3">
      <w:pPr>
        <w:rPr>
          <w:lang w:val="en-GB"/>
        </w:rPr>
      </w:pPr>
    </w:p>
    <w:p w14:paraId="329405A3" w14:textId="77777777" w:rsidR="00ED5CC3" w:rsidRPr="008B7999" w:rsidRDefault="00ED5CC3" w:rsidP="00ED5CC3">
      <w:pPr>
        <w:rPr>
          <w:lang w:val="en-GB"/>
        </w:rPr>
      </w:pPr>
    </w:p>
    <w:p w14:paraId="73A9053E" w14:textId="77777777" w:rsidR="00ED5CC3" w:rsidRPr="008B7999" w:rsidRDefault="00ED5CC3" w:rsidP="00ED5CC3">
      <w:pPr>
        <w:rPr>
          <w:lang w:val="en-GB"/>
        </w:rPr>
      </w:pPr>
    </w:p>
    <w:p w14:paraId="363B2338" w14:textId="42E98749" w:rsidR="00ED5CC3" w:rsidRPr="008B7999" w:rsidRDefault="00ED5CC3" w:rsidP="00ED5CC3">
      <w:pPr>
        <w:pStyle w:val="NormalWeb"/>
        <w:tabs>
          <w:tab w:val="left" w:pos="9090"/>
        </w:tabs>
        <w:ind w:left="-90" w:right="-18"/>
        <w:jc w:val="center"/>
        <w:rPr>
          <w:rFonts w:ascii="Calibri" w:hAnsi="Calibri" w:cs="Calibri"/>
          <w:b/>
          <w:bCs/>
          <w:color w:val="0A2F41" w:themeColor="accent1" w:themeShade="80"/>
          <w:sz w:val="52"/>
          <w:szCs w:val="52"/>
          <w:lang w:val="en-GB"/>
        </w:rPr>
      </w:pPr>
      <w:r>
        <w:rPr>
          <w:rFonts w:ascii="Calibri" w:hAnsi="Calibri" w:cs="Calibri"/>
          <w:b/>
          <w:bCs/>
          <w:color w:val="0A2F41" w:themeColor="accent1" w:themeShade="80"/>
          <w:sz w:val="52"/>
          <w:szCs w:val="52"/>
          <w:lang w:val="en-GB"/>
        </w:rPr>
        <w:t>National Case Study: Energy Sector</w:t>
      </w:r>
    </w:p>
    <w:p w14:paraId="15C2F363" w14:textId="5695555B" w:rsidR="00ED5CC3" w:rsidRPr="00ED5CC3" w:rsidRDefault="007B2F09" w:rsidP="00ED5CC3">
      <w:pPr>
        <w:pStyle w:val="Subttulo"/>
        <w:ind w:right="369"/>
        <w:jc w:val="center"/>
        <w:rPr>
          <w:rFonts w:ascii="Calibri" w:hAnsi="Calibri" w:cs="Calibri"/>
          <w:color w:val="80340D" w:themeColor="accent2" w:themeShade="80"/>
          <w:lang w:val="en-GB"/>
        </w:rPr>
      </w:pPr>
      <w:r>
        <w:rPr>
          <w:rFonts w:ascii="Calibri" w:hAnsi="Calibri" w:cs="Calibri"/>
          <w:color w:val="80340D" w:themeColor="accent2" w:themeShade="80"/>
          <w:lang w:val="en-GB"/>
        </w:rPr>
        <w:t>Spain</w:t>
      </w:r>
    </w:p>
    <w:p w14:paraId="72FFE0D9" w14:textId="0F7E7ADE" w:rsidR="00ED5CC3" w:rsidRPr="009F1A7F" w:rsidRDefault="009F1A7F" w:rsidP="00ED5CC3">
      <w:pPr>
        <w:pStyle w:val="Puesto"/>
        <w:tabs>
          <w:tab w:val="center" w:pos="4819"/>
          <w:tab w:val="right" w:pos="9720"/>
        </w:tabs>
        <w:ind w:left="-90" w:right="-41"/>
        <w:jc w:val="center"/>
        <w:rPr>
          <w:rFonts w:ascii="Calibri" w:eastAsia="Roboto Medium" w:hAnsi="Calibri" w:cs="Calibri"/>
          <w:b/>
          <w:sz w:val="40"/>
          <w:szCs w:val="40"/>
          <w:lang w:val="es-ES"/>
        </w:rPr>
      </w:pPr>
      <w:r>
        <w:rPr>
          <w:rFonts w:ascii="Calibri" w:eastAsia="Roboto Medium" w:hAnsi="Calibri" w:cs="Calibri"/>
          <w:sz w:val="40"/>
          <w:szCs w:val="40"/>
          <w:lang w:val="es-ES"/>
        </w:rPr>
        <w:t>Paloma Piqueiras</w:t>
      </w:r>
      <w:r w:rsidR="008923E7">
        <w:rPr>
          <w:rFonts w:ascii="Calibri" w:eastAsia="Roboto Medium" w:hAnsi="Calibri" w:cs="Calibri"/>
          <w:sz w:val="40"/>
          <w:szCs w:val="40"/>
          <w:lang w:val="es-ES"/>
        </w:rPr>
        <w:t xml:space="preserve"> and Olga Kolotouchkina</w:t>
      </w:r>
      <w:r>
        <w:rPr>
          <w:rFonts w:ascii="Calibri" w:eastAsia="Roboto Medium" w:hAnsi="Calibri" w:cs="Calibri"/>
          <w:sz w:val="40"/>
          <w:szCs w:val="40"/>
          <w:lang w:val="es-ES"/>
        </w:rPr>
        <w:t>, Complutense University of Madrid (UCM)</w:t>
      </w:r>
    </w:p>
    <w:p w14:paraId="5D61D466" w14:textId="77777777" w:rsidR="00ED5CC3" w:rsidRPr="008B7999" w:rsidRDefault="00ED5CC3" w:rsidP="00ED5CC3">
      <w:pPr>
        <w:rPr>
          <w:lang w:val="en-GB" w:eastAsia="en-GB"/>
        </w:rPr>
      </w:pPr>
    </w:p>
    <w:p w14:paraId="0D1E38BB" w14:textId="77777777" w:rsidR="00ED5CC3" w:rsidRPr="008B7999" w:rsidRDefault="00ED5CC3" w:rsidP="00ED5CC3">
      <w:pPr>
        <w:rPr>
          <w:lang w:val="en-GB" w:eastAsia="en-GB"/>
        </w:rPr>
      </w:pPr>
    </w:p>
    <w:p w14:paraId="5B731215" w14:textId="77777777" w:rsidR="00ED5CC3" w:rsidRPr="008B7999" w:rsidRDefault="00ED5CC3" w:rsidP="00ED5CC3">
      <w:pPr>
        <w:rPr>
          <w:lang w:val="en-GB"/>
        </w:rPr>
      </w:pPr>
    </w:p>
    <w:p w14:paraId="688999A6" w14:textId="77777777" w:rsidR="00ED5CC3" w:rsidRPr="008B7999" w:rsidRDefault="00ED5CC3" w:rsidP="00ED5CC3">
      <w:pPr>
        <w:rPr>
          <w:lang w:val="en-GB"/>
        </w:rPr>
      </w:pPr>
    </w:p>
    <w:p w14:paraId="01D87656" w14:textId="77777777" w:rsidR="00ED5CC3" w:rsidRPr="008B7999" w:rsidRDefault="00ED5CC3" w:rsidP="00ED5CC3">
      <w:pPr>
        <w:rPr>
          <w:color w:val="002060"/>
          <w:lang w:val="en-GB"/>
        </w:rPr>
      </w:pPr>
    </w:p>
    <w:p w14:paraId="0A8E56BF" w14:textId="798D07BA" w:rsidR="00ED5CC3" w:rsidRPr="008B7999" w:rsidRDefault="00ED5CC3" w:rsidP="00ED5CC3">
      <w:pPr>
        <w:rPr>
          <w:color w:val="002060"/>
          <w:lang w:val="en-GB"/>
        </w:rPr>
      </w:pPr>
      <w:r w:rsidRPr="008B7999">
        <w:rPr>
          <w:noProof/>
          <w:sz w:val="18"/>
          <w:szCs w:val="18"/>
          <w:lang w:val="es-ES" w:eastAsia="es-ES"/>
        </w:rPr>
        <w:drawing>
          <wp:anchor distT="0" distB="0" distL="114300" distR="114300" simplePos="0" relativeHeight="251659264" behindDoc="0" locked="0" layoutInCell="1" allowOverlap="1" wp14:anchorId="3124773D" wp14:editId="5EFF1DCC">
            <wp:simplePos x="0" y="0"/>
            <wp:positionH relativeFrom="margin">
              <wp:posOffset>-101600</wp:posOffset>
            </wp:positionH>
            <wp:positionV relativeFrom="margin">
              <wp:posOffset>7875905</wp:posOffset>
            </wp:positionV>
            <wp:extent cx="3035300" cy="698500"/>
            <wp:effectExtent l="0" t="0" r="0" b="0"/>
            <wp:wrapSquare wrapText="bothSides"/>
            <wp:docPr id="3" name="Picture 2" descr="изтеглен файл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теглен файл (1).png"/>
                    <pic:cNvPicPr/>
                  </pic:nvPicPr>
                  <pic:blipFill>
                    <a:blip r:embed="rId12"/>
                    <a:stretch>
                      <a:fillRect/>
                    </a:stretch>
                  </pic:blipFill>
                  <pic:spPr>
                    <a:xfrm>
                      <a:off x="0" y="0"/>
                      <a:ext cx="3035300" cy="698500"/>
                    </a:xfrm>
                    <a:prstGeom prst="rect">
                      <a:avLst/>
                    </a:prstGeom>
                  </pic:spPr>
                </pic:pic>
              </a:graphicData>
            </a:graphic>
            <wp14:sizeRelH relativeFrom="margin">
              <wp14:pctWidth>0</wp14:pctWidth>
            </wp14:sizeRelH>
            <wp14:sizeRelV relativeFrom="margin">
              <wp14:pctHeight>0</wp14:pctHeight>
            </wp14:sizeRelV>
          </wp:anchor>
        </w:drawing>
      </w:r>
      <w:bookmarkStart w:id="0" w:name="_GoBack"/>
      <w:bookmarkEnd w:id="0"/>
      <w:r w:rsidRPr="008B7999">
        <w:rPr>
          <w:color w:val="002060"/>
          <w:sz w:val="18"/>
          <w:szCs w:val="18"/>
          <w:lang w:val="en-GB"/>
        </w:rPr>
        <w:t>Views and opinions expressed are however those of the author(s) only and do not necessarily reflect those of the European Union or [name of the granting authority]. Neither the European Union nor the granting authority can be held responsible for them</w:t>
      </w:r>
      <w:r w:rsidRPr="008B7999">
        <w:rPr>
          <w:color w:val="002060"/>
          <w:lang w:val="en-GB"/>
        </w:rPr>
        <w:t>.</w:t>
      </w:r>
    </w:p>
    <w:p w14:paraId="11A2A060" w14:textId="77777777" w:rsidR="00ED5CC3" w:rsidRPr="008B7999" w:rsidRDefault="00ED5CC3" w:rsidP="00ED5CC3">
      <w:pPr>
        <w:rPr>
          <w:lang w:val="en-GB"/>
        </w:rPr>
      </w:pPr>
    </w:p>
    <w:p w14:paraId="3E046099" w14:textId="77777777" w:rsidR="008F02B2" w:rsidRDefault="008F02B2">
      <w:pPr>
        <w:rPr>
          <w:lang w:val="en-GB"/>
        </w:rPr>
      </w:pPr>
    </w:p>
    <w:p w14:paraId="3C39D1C1" w14:textId="77777777" w:rsidR="00ED5CC3" w:rsidRDefault="00ED5CC3">
      <w:pPr>
        <w:rPr>
          <w:lang w:val="en-GB"/>
        </w:rPr>
      </w:pPr>
    </w:p>
    <w:p w14:paraId="7CC15511" w14:textId="079B6544" w:rsidR="00ED5CC3" w:rsidRDefault="00ED5CC3" w:rsidP="35413D53">
      <w:pPr>
        <w:pStyle w:val="Stile1"/>
        <w:numPr>
          <w:ilvl w:val="0"/>
          <w:numId w:val="0"/>
        </w:numPr>
      </w:pPr>
      <w:bookmarkStart w:id="1" w:name="_Toc179193653"/>
      <w:r>
        <w:lastRenderedPageBreak/>
        <w:t>Steps required for the case study:</w:t>
      </w:r>
    </w:p>
    <w:bookmarkEnd w:id="1"/>
    <w:p w14:paraId="396C0C3A" w14:textId="4C67AAEF" w:rsidR="00ED5CC3" w:rsidRPr="00ED5CC3" w:rsidRDefault="00ED5CC3" w:rsidP="35413D53">
      <w:pPr>
        <w:pStyle w:val="Stile1"/>
        <w:ind w:left="0" w:firstLine="0"/>
        <w:rPr>
          <w:lang w:val="en-IE"/>
        </w:rPr>
      </w:pPr>
      <w:r>
        <w:t xml:space="preserve">Select a policy objective for each sector </w:t>
      </w:r>
    </w:p>
    <w:p w14:paraId="026A8A60" w14:textId="6EC3CE65" w:rsidR="00ED5CC3" w:rsidRDefault="00ED5CC3" w:rsidP="35413D53">
      <w:pPr>
        <w:pStyle w:val="Stile1"/>
        <w:numPr>
          <w:ilvl w:val="0"/>
          <w:numId w:val="0"/>
        </w:numPr>
        <w:rPr>
          <w:color w:val="auto"/>
          <w:sz w:val="24"/>
          <w:szCs w:val="24"/>
        </w:rPr>
      </w:pPr>
      <w:r w:rsidRPr="35413D53">
        <w:rPr>
          <w:b w:val="0"/>
          <w:bCs w:val="0"/>
          <w:color w:val="auto"/>
          <w:sz w:val="24"/>
          <w:szCs w:val="24"/>
        </w:rPr>
        <w:t xml:space="preserve">Policy objectives identified through the research conducted as part of T3.1 – </w:t>
      </w:r>
      <w:r w:rsidRPr="35413D53">
        <w:rPr>
          <w:color w:val="auto"/>
          <w:sz w:val="24"/>
          <w:szCs w:val="24"/>
        </w:rPr>
        <w:t>Transition to Renewable Energy Sources (RES)</w:t>
      </w:r>
      <w:r w:rsidR="00C66FCE">
        <w:rPr>
          <w:color w:val="auto"/>
          <w:sz w:val="24"/>
          <w:szCs w:val="24"/>
        </w:rPr>
        <w:t>.</w:t>
      </w:r>
    </w:p>
    <w:p w14:paraId="69100E4F" w14:textId="77777777" w:rsidR="00C66FCE" w:rsidRPr="00C66FCE" w:rsidRDefault="00C66FCE" w:rsidP="00C66FCE">
      <w:pPr>
        <w:jc w:val="both"/>
        <w:rPr>
          <w:rFonts w:ascii="Calibri" w:eastAsia="Calibri" w:hAnsi="Calibri" w:cs="Calibri"/>
          <w:sz w:val="24"/>
          <w:lang w:val="en-GB"/>
        </w:rPr>
      </w:pPr>
      <w:r w:rsidRPr="00C66FCE">
        <w:rPr>
          <w:rFonts w:ascii="Calibri" w:eastAsia="Calibri" w:hAnsi="Calibri" w:cs="Calibri"/>
          <w:sz w:val="24"/>
          <w:lang w:val="en-GB"/>
        </w:rPr>
        <w:t>Aligned with the European Green Deal, REPowerEU, and the Paris Agreement, Spain is committed to climate neutrality by 2050. The Long-Term Decarbonization Strategy 2050 outlines a roadmap with intermediate goals for 2030 and 2040 (Ministerio para la Transición Ecológica y el Reto Demográfico, 2020).</w:t>
      </w:r>
    </w:p>
    <w:p w14:paraId="32FA2076" w14:textId="77777777" w:rsidR="00C66FCE" w:rsidRDefault="00C66FCE" w:rsidP="00C66FCE">
      <w:pPr>
        <w:jc w:val="both"/>
        <w:rPr>
          <w:rFonts w:ascii="Calibri" w:eastAsia="Calibri" w:hAnsi="Calibri" w:cs="Calibri"/>
          <w:sz w:val="24"/>
          <w:lang w:val="en-GB"/>
        </w:rPr>
      </w:pPr>
      <w:r w:rsidRPr="00C66FCE">
        <w:rPr>
          <w:rFonts w:ascii="Calibri" w:eastAsia="Calibri" w:hAnsi="Calibri" w:cs="Calibri"/>
          <w:sz w:val="24"/>
          <w:lang w:val="en-GB"/>
        </w:rPr>
        <w:t xml:space="preserve">The focus on reducing GHG emissions is closely tied to energy efficiency, consumption reduction, and the adoption of carbon-neutral technologies. The </w:t>
      </w:r>
      <w:r w:rsidRPr="00C66FCE">
        <w:rPr>
          <w:rFonts w:ascii="Calibri" w:eastAsia="Calibri" w:hAnsi="Calibri" w:cs="Calibri"/>
          <w:sz w:val="24"/>
        </w:rPr>
        <w:t>Energy and Climate National Integrated Plan 2023-2030</w:t>
      </w:r>
      <w:r w:rsidRPr="00C66FCE">
        <w:rPr>
          <w:rFonts w:ascii="Calibri" w:eastAsia="Calibri" w:hAnsi="Calibri" w:cs="Calibri"/>
          <w:sz w:val="24"/>
          <w:lang w:val="en-GB"/>
        </w:rPr>
        <w:t xml:space="preserve"> sets strategic targets in line with national and EU regulations, revising commitments to maximize the impact of the energy transition (Ministerio para la Transición Ecológica y el Reto Demográfico, 2024).</w:t>
      </w:r>
    </w:p>
    <w:p w14:paraId="3D77902F" w14:textId="0A2B1F31" w:rsidR="00C66FCE" w:rsidRDefault="00C66FCE" w:rsidP="00C66FCE">
      <w:pPr>
        <w:jc w:val="both"/>
        <w:rPr>
          <w:rFonts w:ascii="Calibri" w:eastAsia="Calibri" w:hAnsi="Calibri" w:cs="Calibri"/>
          <w:sz w:val="24"/>
          <w:lang w:val="en-GB"/>
        </w:rPr>
      </w:pPr>
      <w:r w:rsidRPr="00C66FCE">
        <w:rPr>
          <w:rFonts w:ascii="Calibri" w:eastAsia="Calibri" w:hAnsi="Calibri" w:cs="Calibri"/>
          <w:sz w:val="24"/>
          <w:lang w:val="en-GB"/>
        </w:rPr>
        <w:t>The GHG emissions reduction target for 2030 has increased to 32%, with renewable energy consumption set at 48% (81% of electricity generation) and energy efficiency at 43%. National energy dependence is expected to decrease from 73% in 2019 to 50% in 2030. Meanwhile, electricity demand has grown by 34%, and the electrification of the economy has reached 35%. Spain is the first large European country where renewable electricity generation exceeds 50% of demand.</w:t>
      </w:r>
    </w:p>
    <w:p w14:paraId="42781541" w14:textId="197C93EB" w:rsidR="00C66FCE" w:rsidRPr="00C66FCE" w:rsidRDefault="00C66FCE" w:rsidP="00C66FCE">
      <w:pPr>
        <w:jc w:val="both"/>
        <w:rPr>
          <w:rFonts w:ascii="Calibri" w:eastAsia="Calibri" w:hAnsi="Calibri" w:cs="Calibri"/>
          <w:sz w:val="24"/>
          <w:lang w:val="en-GB"/>
        </w:rPr>
      </w:pPr>
      <w:r w:rsidRPr="00C66FCE">
        <w:rPr>
          <w:rFonts w:ascii="Calibri" w:eastAsia="Calibri" w:hAnsi="Calibri" w:cs="Calibri"/>
          <w:sz w:val="24"/>
          <w:lang w:val="en-GB"/>
        </w:rPr>
        <w:t>Taking into account the objectives outlined by the Spanish plan (Table 1), this report identifies the renewable energy and self-consumption component as the primary focus of study.</w:t>
      </w:r>
    </w:p>
    <w:p w14:paraId="648BB115" w14:textId="490C97E6" w:rsidR="00C66FCE" w:rsidRPr="00A407B8" w:rsidRDefault="00C66FCE" w:rsidP="00C66FCE">
      <w:pPr>
        <w:jc w:val="both"/>
        <w:rPr>
          <w:rFonts w:ascii="Calibri" w:eastAsia="Calibri" w:hAnsi="Calibri" w:cs="Calibri"/>
          <w:b/>
        </w:rPr>
      </w:pPr>
      <w:r>
        <w:rPr>
          <w:rFonts w:ascii="Calibri" w:eastAsia="Calibri" w:hAnsi="Calibri" w:cs="Calibri"/>
          <w:b/>
        </w:rPr>
        <w:t>Table 1</w:t>
      </w:r>
      <w:r w:rsidRPr="00A407B8">
        <w:rPr>
          <w:rFonts w:ascii="Calibri" w:eastAsia="Calibri" w:hAnsi="Calibri" w:cs="Calibri"/>
          <w:b/>
        </w:rPr>
        <w:t>. Key strategic targets of the energy transition in Spain</w:t>
      </w:r>
    </w:p>
    <w:tbl>
      <w:tblPr>
        <w:tblStyle w:val="23"/>
        <w:tblW w:w="8385"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0"/>
        <w:gridCol w:w="6255"/>
      </w:tblGrid>
      <w:tr w:rsidR="00C66FCE" w:rsidRPr="00A407B8" w14:paraId="65058AFC" w14:textId="77777777" w:rsidTr="00F70A11">
        <w:tc>
          <w:tcPr>
            <w:tcW w:w="2130" w:type="dxa"/>
            <w:shd w:val="clear" w:color="auto" w:fill="D9D9D9"/>
          </w:tcPr>
          <w:p w14:paraId="5E155622" w14:textId="77777777" w:rsidR="00C66FCE" w:rsidRPr="00A407B8" w:rsidRDefault="00C66FCE" w:rsidP="00F70A11">
            <w:pPr>
              <w:spacing w:line="276" w:lineRule="auto"/>
              <w:jc w:val="both"/>
              <w:rPr>
                <w:rFonts w:ascii="Calibri" w:eastAsia="Calibri" w:hAnsi="Calibri" w:cs="Calibri"/>
                <w:b/>
              </w:rPr>
            </w:pPr>
            <w:r w:rsidRPr="00A407B8">
              <w:rPr>
                <w:rFonts w:ascii="Calibri" w:eastAsia="Calibri" w:hAnsi="Calibri" w:cs="Calibri"/>
                <w:b/>
              </w:rPr>
              <w:t>Component</w:t>
            </w:r>
          </w:p>
        </w:tc>
        <w:tc>
          <w:tcPr>
            <w:tcW w:w="6255" w:type="dxa"/>
            <w:shd w:val="clear" w:color="auto" w:fill="D9D9D9"/>
          </w:tcPr>
          <w:p w14:paraId="73963894" w14:textId="77777777" w:rsidR="00C66FCE" w:rsidRPr="00A407B8" w:rsidRDefault="00C66FCE" w:rsidP="00F70A11">
            <w:pPr>
              <w:spacing w:line="276" w:lineRule="auto"/>
              <w:jc w:val="both"/>
              <w:rPr>
                <w:rFonts w:ascii="Calibri" w:eastAsia="Calibri" w:hAnsi="Calibri" w:cs="Calibri"/>
                <w:b/>
              </w:rPr>
            </w:pPr>
            <w:r w:rsidRPr="00A407B8">
              <w:rPr>
                <w:rFonts w:ascii="Calibri" w:eastAsia="Calibri" w:hAnsi="Calibri" w:cs="Calibri"/>
                <w:b/>
              </w:rPr>
              <w:t xml:space="preserve">Strategic goal </w:t>
            </w:r>
          </w:p>
        </w:tc>
      </w:tr>
      <w:tr w:rsidR="00C66FCE" w:rsidRPr="00A407B8" w14:paraId="64E06ACF" w14:textId="77777777" w:rsidTr="00F70A11">
        <w:tc>
          <w:tcPr>
            <w:tcW w:w="2130" w:type="dxa"/>
            <w:vMerge w:val="restart"/>
          </w:tcPr>
          <w:p w14:paraId="20B1E441" w14:textId="77777777" w:rsidR="00C66FCE" w:rsidRPr="00A407B8" w:rsidRDefault="00C66FCE" w:rsidP="00F70A11">
            <w:pPr>
              <w:spacing w:line="276" w:lineRule="auto"/>
              <w:jc w:val="both"/>
              <w:rPr>
                <w:rFonts w:ascii="Calibri" w:eastAsia="Calibri" w:hAnsi="Calibri" w:cs="Calibri"/>
              </w:rPr>
            </w:pPr>
            <w:r w:rsidRPr="00A407B8">
              <w:rPr>
                <w:rFonts w:ascii="Calibri" w:eastAsia="Calibri" w:hAnsi="Calibri" w:cs="Calibri"/>
              </w:rPr>
              <w:t xml:space="preserve">Climate neutrality </w:t>
            </w:r>
          </w:p>
        </w:tc>
        <w:tc>
          <w:tcPr>
            <w:tcW w:w="6255" w:type="dxa"/>
          </w:tcPr>
          <w:p w14:paraId="638E4B02" w14:textId="77777777" w:rsidR="00C66FCE" w:rsidRPr="00A407B8" w:rsidRDefault="00C66FCE" w:rsidP="00F70A11">
            <w:pPr>
              <w:spacing w:line="276" w:lineRule="auto"/>
              <w:jc w:val="both"/>
              <w:rPr>
                <w:rFonts w:ascii="Calibri" w:eastAsia="Calibri" w:hAnsi="Calibri" w:cs="Calibri"/>
              </w:rPr>
            </w:pPr>
            <w:r w:rsidRPr="00A407B8">
              <w:rPr>
                <w:rFonts w:ascii="Calibri" w:eastAsia="Calibri" w:hAnsi="Calibri" w:cs="Calibri"/>
              </w:rPr>
              <w:t xml:space="preserve">Climate-neutral by 2050. </w:t>
            </w:r>
          </w:p>
        </w:tc>
      </w:tr>
      <w:tr w:rsidR="00C66FCE" w:rsidRPr="00A407B8" w14:paraId="07496DA1" w14:textId="77777777" w:rsidTr="00F70A11">
        <w:tc>
          <w:tcPr>
            <w:tcW w:w="2130" w:type="dxa"/>
            <w:vMerge/>
          </w:tcPr>
          <w:p w14:paraId="106E744C" w14:textId="77777777" w:rsidR="00C66FCE" w:rsidRPr="00A407B8" w:rsidRDefault="00C66FCE" w:rsidP="00F70A11">
            <w:pPr>
              <w:widowControl w:val="0"/>
              <w:pBdr>
                <w:top w:val="nil"/>
                <w:left w:val="nil"/>
                <w:bottom w:val="nil"/>
                <w:right w:val="nil"/>
                <w:between w:val="nil"/>
              </w:pBdr>
              <w:spacing w:line="276" w:lineRule="auto"/>
              <w:rPr>
                <w:rFonts w:ascii="Calibri" w:eastAsia="Calibri" w:hAnsi="Calibri" w:cs="Calibri"/>
              </w:rPr>
            </w:pPr>
          </w:p>
        </w:tc>
        <w:tc>
          <w:tcPr>
            <w:tcW w:w="6255" w:type="dxa"/>
          </w:tcPr>
          <w:p w14:paraId="78704D11" w14:textId="77777777" w:rsidR="00C66FCE" w:rsidRPr="00A407B8" w:rsidRDefault="00C66FCE" w:rsidP="00F70A11">
            <w:pPr>
              <w:spacing w:line="276" w:lineRule="auto"/>
              <w:jc w:val="both"/>
              <w:rPr>
                <w:rFonts w:ascii="Calibri" w:eastAsia="Calibri" w:hAnsi="Calibri" w:cs="Calibri"/>
              </w:rPr>
            </w:pPr>
            <w:r w:rsidRPr="00A407B8">
              <w:rPr>
                <w:rFonts w:ascii="Calibri" w:eastAsia="Calibri" w:hAnsi="Calibri" w:cs="Calibri"/>
              </w:rPr>
              <w:t xml:space="preserve">To reduce by 32 % GHG emissions by 2030, relative to 1990 levels. </w:t>
            </w:r>
          </w:p>
        </w:tc>
      </w:tr>
      <w:tr w:rsidR="00C66FCE" w:rsidRPr="00A407B8" w14:paraId="6E122A52" w14:textId="77777777" w:rsidTr="00F70A11">
        <w:tc>
          <w:tcPr>
            <w:tcW w:w="2130" w:type="dxa"/>
          </w:tcPr>
          <w:p w14:paraId="26FF750F" w14:textId="77777777" w:rsidR="00C66FCE" w:rsidRPr="00A407B8" w:rsidRDefault="00C66FCE" w:rsidP="00F70A11">
            <w:pPr>
              <w:spacing w:line="276" w:lineRule="auto"/>
              <w:jc w:val="both"/>
              <w:rPr>
                <w:rFonts w:ascii="Calibri" w:eastAsia="Calibri" w:hAnsi="Calibri" w:cs="Calibri"/>
              </w:rPr>
            </w:pPr>
            <w:r w:rsidRPr="00A407B8">
              <w:rPr>
                <w:rFonts w:ascii="Calibri" w:eastAsia="Calibri" w:hAnsi="Calibri" w:cs="Calibri"/>
              </w:rPr>
              <w:t xml:space="preserve">RE </w:t>
            </w:r>
          </w:p>
        </w:tc>
        <w:tc>
          <w:tcPr>
            <w:tcW w:w="6255" w:type="dxa"/>
          </w:tcPr>
          <w:p w14:paraId="313A8370" w14:textId="77777777" w:rsidR="00C66FCE" w:rsidRPr="00A407B8" w:rsidRDefault="00C66FCE" w:rsidP="00F70A11">
            <w:pPr>
              <w:spacing w:line="276" w:lineRule="auto"/>
              <w:jc w:val="both"/>
              <w:rPr>
                <w:rFonts w:ascii="Calibri" w:eastAsia="Calibri" w:hAnsi="Calibri" w:cs="Calibri"/>
                <w:color w:val="000000"/>
              </w:rPr>
            </w:pPr>
            <w:r w:rsidRPr="00A407B8">
              <w:rPr>
                <w:rFonts w:ascii="Calibri" w:eastAsia="Calibri" w:hAnsi="Calibri" w:cs="Calibri"/>
                <w:color w:val="000000"/>
              </w:rPr>
              <w:t>To achieve a 48% share of RE in final energy consumption in 2030.</w:t>
            </w:r>
          </w:p>
          <w:p w14:paraId="2CD12200" w14:textId="77777777" w:rsidR="00C66FCE" w:rsidRPr="00A407B8" w:rsidRDefault="00C66FCE" w:rsidP="00F70A11">
            <w:pPr>
              <w:spacing w:line="276" w:lineRule="auto"/>
              <w:jc w:val="both"/>
              <w:rPr>
                <w:rFonts w:ascii="Calibri" w:eastAsia="Calibri" w:hAnsi="Calibri" w:cs="Calibri"/>
                <w:color w:val="000000"/>
              </w:rPr>
            </w:pPr>
            <w:r w:rsidRPr="00A407B8">
              <w:rPr>
                <w:rFonts w:ascii="Calibri" w:eastAsia="Calibri" w:hAnsi="Calibri" w:cs="Calibri"/>
                <w:color w:val="000000"/>
              </w:rPr>
              <w:t>81% of RE in electrification by 2030.</w:t>
            </w:r>
          </w:p>
        </w:tc>
      </w:tr>
      <w:tr w:rsidR="00C66FCE" w:rsidRPr="00A407B8" w14:paraId="60644CEB" w14:textId="77777777" w:rsidTr="00F70A11">
        <w:tc>
          <w:tcPr>
            <w:tcW w:w="2130" w:type="dxa"/>
          </w:tcPr>
          <w:p w14:paraId="49EE8134" w14:textId="77777777" w:rsidR="00C66FCE" w:rsidRPr="00A407B8" w:rsidRDefault="00C66FCE" w:rsidP="00F70A11">
            <w:pPr>
              <w:spacing w:line="276" w:lineRule="auto"/>
              <w:jc w:val="both"/>
              <w:rPr>
                <w:rFonts w:ascii="Calibri" w:eastAsia="Calibri" w:hAnsi="Calibri" w:cs="Calibri"/>
              </w:rPr>
            </w:pPr>
            <w:r w:rsidRPr="00A407B8">
              <w:rPr>
                <w:rFonts w:ascii="Calibri" w:eastAsia="Calibri" w:hAnsi="Calibri" w:cs="Calibri"/>
              </w:rPr>
              <w:t>Coal phase-out and structural change</w:t>
            </w:r>
          </w:p>
        </w:tc>
        <w:tc>
          <w:tcPr>
            <w:tcW w:w="6255" w:type="dxa"/>
          </w:tcPr>
          <w:p w14:paraId="5DDF73A4" w14:textId="77777777" w:rsidR="00C66FCE" w:rsidRPr="00A407B8" w:rsidRDefault="00C66FCE" w:rsidP="00F70A11">
            <w:pPr>
              <w:spacing w:line="276" w:lineRule="auto"/>
              <w:jc w:val="both"/>
              <w:rPr>
                <w:rFonts w:ascii="Calibri" w:eastAsia="Calibri" w:hAnsi="Calibri" w:cs="Calibri"/>
                <w:color w:val="00B0F0"/>
              </w:rPr>
            </w:pPr>
            <w:r w:rsidRPr="00A407B8">
              <w:rPr>
                <w:rFonts w:ascii="Calibri" w:eastAsia="Calibri" w:hAnsi="Calibri" w:cs="Calibri"/>
              </w:rPr>
              <w:t xml:space="preserve">To complete coal phasing-out in 2025. Five remaining coal plants to be closed. </w:t>
            </w:r>
          </w:p>
        </w:tc>
      </w:tr>
      <w:tr w:rsidR="00C66FCE" w:rsidRPr="00A407B8" w14:paraId="6FC14BFF" w14:textId="77777777" w:rsidTr="00F70A11">
        <w:tc>
          <w:tcPr>
            <w:tcW w:w="2130" w:type="dxa"/>
          </w:tcPr>
          <w:p w14:paraId="02E7B442" w14:textId="77777777" w:rsidR="00C66FCE" w:rsidRPr="00A407B8" w:rsidRDefault="00C66FCE" w:rsidP="00F70A11">
            <w:pPr>
              <w:spacing w:line="276" w:lineRule="auto"/>
              <w:jc w:val="both"/>
              <w:rPr>
                <w:rFonts w:ascii="Calibri" w:eastAsia="Calibri" w:hAnsi="Calibri" w:cs="Calibri"/>
              </w:rPr>
            </w:pPr>
            <w:r w:rsidRPr="00A407B8">
              <w:rPr>
                <w:rFonts w:ascii="Calibri" w:eastAsia="Calibri" w:hAnsi="Calibri" w:cs="Calibri"/>
              </w:rPr>
              <w:t xml:space="preserve">Energy efficiency </w:t>
            </w:r>
          </w:p>
        </w:tc>
        <w:tc>
          <w:tcPr>
            <w:tcW w:w="6255" w:type="dxa"/>
          </w:tcPr>
          <w:p w14:paraId="0DFAF623" w14:textId="77777777" w:rsidR="00C66FCE" w:rsidRPr="00A407B8" w:rsidRDefault="00C66FCE" w:rsidP="00F70A11">
            <w:pPr>
              <w:spacing w:line="276" w:lineRule="auto"/>
              <w:jc w:val="both"/>
              <w:rPr>
                <w:rFonts w:ascii="Calibri" w:eastAsia="Calibri" w:hAnsi="Calibri" w:cs="Calibri"/>
                <w:color w:val="00B0F0"/>
              </w:rPr>
            </w:pPr>
            <w:r w:rsidRPr="00A407B8">
              <w:rPr>
                <w:rFonts w:ascii="Calibri" w:eastAsia="Calibri" w:hAnsi="Calibri" w:cs="Calibri"/>
                <w:color w:val="000000"/>
              </w:rPr>
              <w:t xml:space="preserve">43% improvement in energy efficiency, 50% share of indigenous energy production in total energy mix by 2030, total installed power of 214 GW in the electricity sector by 2030. </w:t>
            </w:r>
          </w:p>
        </w:tc>
      </w:tr>
      <w:tr w:rsidR="00C66FCE" w:rsidRPr="00A407B8" w14:paraId="75BF6581" w14:textId="77777777" w:rsidTr="00F70A11">
        <w:tc>
          <w:tcPr>
            <w:tcW w:w="2130" w:type="dxa"/>
          </w:tcPr>
          <w:p w14:paraId="658D57B7" w14:textId="77777777" w:rsidR="00C66FCE" w:rsidRPr="00A407B8" w:rsidRDefault="00C66FCE" w:rsidP="00F70A11">
            <w:pPr>
              <w:spacing w:line="276" w:lineRule="auto"/>
              <w:jc w:val="both"/>
              <w:rPr>
                <w:rFonts w:ascii="Calibri" w:eastAsia="Calibri" w:hAnsi="Calibri" w:cs="Calibri"/>
              </w:rPr>
            </w:pPr>
            <w:r w:rsidRPr="00A407B8">
              <w:rPr>
                <w:rFonts w:ascii="Calibri" w:eastAsia="Calibri" w:hAnsi="Calibri" w:cs="Calibri"/>
              </w:rPr>
              <w:t>Clean hydrogen</w:t>
            </w:r>
          </w:p>
        </w:tc>
        <w:tc>
          <w:tcPr>
            <w:tcW w:w="6255" w:type="dxa"/>
          </w:tcPr>
          <w:p w14:paraId="7A6AFED7" w14:textId="77777777" w:rsidR="00C66FCE" w:rsidRPr="00A407B8" w:rsidRDefault="00C66FCE" w:rsidP="00F70A11">
            <w:pPr>
              <w:spacing w:line="276" w:lineRule="auto"/>
              <w:jc w:val="both"/>
              <w:rPr>
                <w:rFonts w:ascii="Calibri" w:eastAsia="Calibri" w:hAnsi="Calibri" w:cs="Calibri"/>
                <w:color w:val="000000"/>
              </w:rPr>
            </w:pPr>
            <w:r w:rsidRPr="00A407B8">
              <w:rPr>
                <w:rFonts w:ascii="Calibri" w:eastAsia="Calibri" w:hAnsi="Calibri" w:cs="Calibri"/>
              </w:rPr>
              <w:t>To reach 12 GW of renewable hydrogen by 2030.</w:t>
            </w:r>
          </w:p>
        </w:tc>
      </w:tr>
    </w:tbl>
    <w:p w14:paraId="4AA5F92D" w14:textId="4B92313F" w:rsidR="00C66FCE" w:rsidRPr="00C66FCE" w:rsidRDefault="00C66FCE" w:rsidP="00C66FCE">
      <w:pPr>
        <w:rPr>
          <w:rFonts w:ascii="Calibri" w:eastAsia="Calibri" w:hAnsi="Calibri" w:cs="Calibri"/>
          <w:lang w:val="es-ES"/>
        </w:rPr>
      </w:pPr>
      <w:r w:rsidRPr="00A407B8">
        <w:rPr>
          <w:rFonts w:ascii="Calibri" w:eastAsia="Calibri" w:hAnsi="Calibri" w:cs="Calibri"/>
        </w:rPr>
        <w:t>Source: Own elaboration</w:t>
      </w:r>
      <w:r>
        <w:rPr>
          <w:rFonts w:ascii="Calibri" w:eastAsia="Calibri" w:hAnsi="Calibri" w:cs="Calibri"/>
          <w:lang w:val="es-ES"/>
        </w:rPr>
        <w:t xml:space="preserve"> (FITTER D3.1 report)</w:t>
      </w:r>
    </w:p>
    <w:p w14:paraId="03339957" w14:textId="0D59E30A" w:rsidR="00ED5CC3" w:rsidRDefault="00ED5CC3" w:rsidP="35413D53">
      <w:pPr>
        <w:pStyle w:val="Stile1"/>
        <w:ind w:left="0" w:firstLine="0"/>
        <w:rPr>
          <w:lang w:val="en-IE"/>
        </w:rPr>
      </w:pPr>
      <w:r>
        <w:lastRenderedPageBreak/>
        <w:t xml:space="preserve">Identify key actions/mechanism to be assessed from each policy objective(s) </w:t>
      </w:r>
    </w:p>
    <w:p w14:paraId="1F71513A" w14:textId="596EE1DB" w:rsidR="00ED5CC3" w:rsidRPr="008D4155" w:rsidRDefault="00ED5CC3" w:rsidP="35413D53">
      <w:pPr>
        <w:jc w:val="both"/>
        <w:rPr>
          <w:rFonts w:ascii="Calibri" w:hAnsi="Calibri" w:cs="Calibri"/>
          <w:sz w:val="24"/>
          <w:szCs w:val="24"/>
          <w:lang w:val="en-IE"/>
        </w:rPr>
      </w:pPr>
      <w:r w:rsidRPr="62BE9FBD">
        <w:rPr>
          <w:rFonts w:ascii="Calibri" w:hAnsi="Calibri" w:cs="Calibri"/>
          <w:b/>
          <w:bCs/>
          <w:sz w:val="24"/>
          <w:szCs w:val="24"/>
          <w:lang w:val="en-IE"/>
        </w:rPr>
        <w:t>Key mechanisms</w:t>
      </w:r>
      <w:r w:rsidRPr="62BE9FBD">
        <w:rPr>
          <w:rFonts w:ascii="Calibri" w:hAnsi="Calibri" w:cs="Calibri"/>
          <w:sz w:val="24"/>
          <w:szCs w:val="24"/>
          <w:lang w:val="en-IE"/>
        </w:rPr>
        <w:t xml:space="preserve"> </w:t>
      </w:r>
      <w:r w:rsidR="00136EAF" w:rsidRPr="62BE9FBD">
        <w:rPr>
          <w:rFonts w:ascii="Calibri" w:hAnsi="Calibri" w:cs="Calibri"/>
          <w:sz w:val="24"/>
          <w:szCs w:val="24"/>
          <w:lang w:val="en-IE"/>
        </w:rPr>
        <w:t xml:space="preserve">identified as </w:t>
      </w:r>
      <w:r w:rsidR="00136EAF" w:rsidRPr="62BE9FBD">
        <w:rPr>
          <w:rFonts w:ascii="Calibri" w:hAnsi="Calibri" w:cs="Calibri"/>
          <w:b/>
          <w:bCs/>
          <w:sz w:val="24"/>
          <w:szCs w:val="24"/>
          <w:lang w:val="en-IE"/>
        </w:rPr>
        <w:t>supports for decentralised energy production</w:t>
      </w:r>
      <w:r w:rsidR="00136EAF" w:rsidRPr="62BE9FBD">
        <w:rPr>
          <w:rFonts w:ascii="Calibri" w:hAnsi="Calibri" w:cs="Calibri"/>
          <w:sz w:val="24"/>
          <w:szCs w:val="24"/>
          <w:lang w:val="en-IE"/>
        </w:rPr>
        <w:t xml:space="preserve"> (community and household level)</w:t>
      </w:r>
      <w:r w:rsidR="68DD6D56" w:rsidRPr="62BE9FBD">
        <w:rPr>
          <w:rFonts w:ascii="Calibri" w:hAnsi="Calibri" w:cs="Calibri"/>
          <w:sz w:val="24"/>
          <w:szCs w:val="24"/>
          <w:lang w:val="en-IE"/>
        </w:rPr>
        <w:t xml:space="preserve"> - specifically support for community group schemes (co-op model</w:t>
      </w:r>
      <w:r w:rsidR="26CABDFB" w:rsidRPr="62BE9FBD">
        <w:rPr>
          <w:rFonts w:ascii="Calibri" w:hAnsi="Calibri" w:cs="Calibri"/>
          <w:sz w:val="24"/>
          <w:szCs w:val="24"/>
          <w:lang w:val="en-IE"/>
        </w:rPr>
        <w:t>, e.g. wind energy</w:t>
      </w:r>
      <w:r w:rsidR="68DD6D56" w:rsidRPr="62BE9FBD">
        <w:rPr>
          <w:rFonts w:ascii="Calibri" w:hAnsi="Calibri" w:cs="Calibri"/>
          <w:sz w:val="24"/>
          <w:szCs w:val="24"/>
          <w:lang w:val="en-IE"/>
        </w:rPr>
        <w:t>) and supports for microgeneration at household level (e.g. solar panel installation in individual homes).</w:t>
      </w:r>
    </w:p>
    <w:p w14:paraId="153FB425" w14:textId="41C96AC8" w:rsidR="0EE323CC" w:rsidRDefault="0EE323CC" w:rsidP="62BE9FBD">
      <w:pPr>
        <w:jc w:val="both"/>
        <w:rPr>
          <w:rFonts w:ascii="Calibri" w:eastAsia="Calibri" w:hAnsi="Calibri" w:cs="Calibri"/>
          <w:sz w:val="24"/>
          <w:szCs w:val="24"/>
          <w:lang w:val="en-IE"/>
        </w:rPr>
      </w:pPr>
      <w:r w:rsidRPr="62BE9FBD">
        <w:rPr>
          <w:rFonts w:ascii="Calibri" w:hAnsi="Calibri" w:cs="Calibri"/>
          <w:b/>
          <w:bCs/>
          <w:sz w:val="24"/>
          <w:szCs w:val="24"/>
          <w:lang w:val="en-IE"/>
        </w:rPr>
        <w:t xml:space="preserve">Research Question: </w:t>
      </w:r>
      <w:r w:rsidRPr="62BE9FBD">
        <w:rPr>
          <w:rFonts w:ascii="Calibri" w:eastAsia="Calibri" w:hAnsi="Calibri" w:cs="Calibri"/>
          <w:sz w:val="24"/>
          <w:szCs w:val="24"/>
          <w:lang w:val="en-IE"/>
        </w:rPr>
        <w:t>To what extent current national policies (top-down approach) enabling RE adoption (for self-consumption) by citizens address or exacerbate existing vulnerabilities? How is the energy poverty addressed through these measures?</w:t>
      </w:r>
    </w:p>
    <w:p w14:paraId="6013F352" w14:textId="667DB872" w:rsidR="00ED5CC3" w:rsidRPr="008D4155" w:rsidRDefault="00136EAF" w:rsidP="35413D53">
      <w:pPr>
        <w:shd w:val="clear" w:color="auto" w:fill="DAE9F7" w:themeFill="text2" w:themeFillTint="1A"/>
        <w:jc w:val="both"/>
        <w:rPr>
          <w:rFonts w:ascii="Calibri" w:hAnsi="Calibri" w:cs="Calibri"/>
          <w:i/>
          <w:iCs/>
          <w:sz w:val="24"/>
          <w:szCs w:val="24"/>
          <w:u w:val="single"/>
          <w:lang w:val="en-IE"/>
        </w:rPr>
      </w:pPr>
      <w:r w:rsidRPr="35413D53">
        <w:rPr>
          <w:rFonts w:ascii="Calibri" w:hAnsi="Calibri" w:cs="Calibri"/>
          <w:i/>
          <w:iCs/>
          <w:sz w:val="24"/>
          <w:szCs w:val="24"/>
          <w:u w:val="single"/>
          <w:lang w:val="en-IE"/>
        </w:rPr>
        <w:t>At national level, please consult relevant policy documents (e.g. National Energy Plan</w:t>
      </w:r>
      <w:r w:rsidR="1B429F0C" w:rsidRPr="35413D53">
        <w:rPr>
          <w:rFonts w:ascii="Calibri" w:hAnsi="Calibri" w:cs="Calibri"/>
          <w:i/>
          <w:iCs/>
          <w:sz w:val="24"/>
          <w:szCs w:val="24"/>
          <w:u w:val="single"/>
          <w:lang w:val="en-IE"/>
        </w:rPr>
        <w:t xml:space="preserve">, which can be found here: </w:t>
      </w:r>
      <w:hyperlink r:id="rId13">
        <w:r w:rsidR="1B429F0C" w:rsidRPr="35413D53">
          <w:rPr>
            <w:rStyle w:val="Hipervnculo"/>
            <w:rFonts w:ascii="Calibri" w:hAnsi="Calibri" w:cs="Calibri"/>
            <w:i/>
            <w:iCs/>
            <w:sz w:val="24"/>
            <w:szCs w:val="24"/>
            <w:lang w:val="en-IE"/>
          </w:rPr>
          <w:t>National Energy and Climate Plans 2021-2030</w:t>
        </w:r>
      </w:hyperlink>
      <w:r w:rsidRPr="35413D53">
        <w:rPr>
          <w:rFonts w:ascii="Calibri" w:hAnsi="Calibri" w:cs="Calibri"/>
          <w:i/>
          <w:iCs/>
          <w:sz w:val="24"/>
          <w:szCs w:val="24"/>
          <w:u w:val="single"/>
          <w:lang w:val="en-IE"/>
        </w:rPr>
        <w:t>) and provide answers to the following questions:</w:t>
      </w:r>
    </w:p>
    <w:p w14:paraId="4A775E83" w14:textId="00183759" w:rsidR="00ED5CC3" w:rsidRPr="006D032C" w:rsidRDefault="008D4155" w:rsidP="35413D53">
      <w:pPr>
        <w:pStyle w:val="Prrafodelista"/>
        <w:numPr>
          <w:ilvl w:val="0"/>
          <w:numId w:val="1"/>
        </w:numPr>
        <w:shd w:val="clear" w:color="auto" w:fill="DAE9F7" w:themeFill="text2" w:themeFillTint="1A"/>
        <w:jc w:val="both"/>
        <w:rPr>
          <w:rFonts w:ascii="Calibri" w:hAnsi="Calibri" w:cs="Calibri"/>
          <w:i/>
          <w:iCs/>
          <w:lang w:val="en-IE"/>
        </w:rPr>
      </w:pPr>
      <w:r w:rsidRPr="35413D53">
        <w:rPr>
          <w:rFonts w:ascii="Calibri" w:hAnsi="Calibri" w:cs="Calibri"/>
          <w:i/>
          <w:iCs/>
          <w:sz w:val="24"/>
          <w:szCs w:val="24"/>
          <w:lang w:val="en-IE"/>
        </w:rPr>
        <w:t>What are the main mechanisms and support programmes for the decentralised energy production (renewables) at (a) community level and (b) individual/household level?</w:t>
      </w:r>
    </w:p>
    <w:p w14:paraId="04819387" w14:textId="77777777" w:rsidR="006D032C" w:rsidRPr="008D4155" w:rsidRDefault="006D032C" w:rsidP="006D032C">
      <w:pPr>
        <w:pStyle w:val="Prrafodelista"/>
        <w:numPr>
          <w:ilvl w:val="0"/>
          <w:numId w:val="1"/>
        </w:numPr>
        <w:shd w:val="clear" w:color="auto" w:fill="DAE9F7" w:themeFill="text2" w:themeFillTint="1A"/>
        <w:jc w:val="both"/>
        <w:rPr>
          <w:rFonts w:ascii="Calibri" w:hAnsi="Calibri" w:cs="Calibri"/>
          <w:i/>
          <w:iCs/>
          <w:sz w:val="24"/>
          <w:szCs w:val="24"/>
          <w:lang w:val="en-IE"/>
        </w:rPr>
      </w:pPr>
      <w:r w:rsidRPr="35413D53">
        <w:rPr>
          <w:rFonts w:ascii="Calibri" w:hAnsi="Calibri" w:cs="Calibri"/>
          <w:i/>
          <w:iCs/>
          <w:sz w:val="24"/>
          <w:szCs w:val="24"/>
          <w:lang w:val="en-IE"/>
        </w:rPr>
        <w:t>What specific mechanisms are in place and which issues are addressed:</w:t>
      </w:r>
    </w:p>
    <w:p w14:paraId="7A0551C5" w14:textId="77777777" w:rsidR="006D032C" w:rsidRPr="008D4155" w:rsidRDefault="006D032C" w:rsidP="006D032C">
      <w:pPr>
        <w:pStyle w:val="Prrafodelista"/>
        <w:numPr>
          <w:ilvl w:val="0"/>
          <w:numId w:val="6"/>
        </w:numPr>
        <w:shd w:val="clear" w:color="auto" w:fill="DAE9F7" w:themeFill="text2" w:themeFillTint="1A"/>
        <w:jc w:val="both"/>
        <w:rPr>
          <w:rFonts w:ascii="Calibri" w:eastAsia="Calibri" w:hAnsi="Calibri" w:cs="Calibri"/>
          <w:i/>
          <w:iCs/>
          <w:sz w:val="24"/>
          <w:szCs w:val="24"/>
          <w:lang w:val="en-US"/>
        </w:rPr>
      </w:pPr>
      <w:r w:rsidRPr="35413D53">
        <w:rPr>
          <w:rFonts w:ascii="Calibri" w:eastAsia="Calibri" w:hAnsi="Calibri" w:cs="Calibri"/>
          <w:i/>
          <w:iCs/>
          <w:sz w:val="24"/>
          <w:szCs w:val="24"/>
          <w:lang w:val="en-US"/>
        </w:rPr>
        <w:t>Financial incentives (grants or other, also note whether universal or means tested)</w:t>
      </w:r>
    </w:p>
    <w:p w14:paraId="391EE775" w14:textId="77777777" w:rsidR="006D032C" w:rsidRPr="008D4155" w:rsidRDefault="006D032C" w:rsidP="006D032C">
      <w:pPr>
        <w:pStyle w:val="Prrafodelista"/>
        <w:numPr>
          <w:ilvl w:val="0"/>
          <w:numId w:val="6"/>
        </w:numPr>
        <w:shd w:val="clear" w:color="auto" w:fill="DAE9F7" w:themeFill="text2" w:themeFillTint="1A"/>
        <w:jc w:val="both"/>
        <w:rPr>
          <w:rFonts w:ascii="Calibri" w:eastAsia="Calibri" w:hAnsi="Calibri" w:cs="Calibri"/>
          <w:i/>
          <w:iCs/>
          <w:sz w:val="24"/>
          <w:szCs w:val="24"/>
          <w:lang w:val="en-US"/>
        </w:rPr>
      </w:pPr>
      <w:r w:rsidRPr="35413D53">
        <w:rPr>
          <w:rFonts w:ascii="Calibri" w:eastAsia="Calibri" w:hAnsi="Calibri" w:cs="Calibri"/>
          <w:i/>
          <w:iCs/>
          <w:sz w:val="24"/>
          <w:szCs w:val="24"/>
          <w:lang w:val="en-US"/>
        </w:rPr>
        <w:t>Level of investment required (upfront/after the grant)</w:t>
      </w:r>
    </w:p>
    <w:p w14:paraId="71A234C4" w14:textId="77777777" w:rsidR="006D032C" w:rsidRPr="008D4155" w:rsidRDefault="006D032C" w:rsidP="006D032C">
      <w:pPr>
        <w:pStyle w:val="Prrafodelista"/>
        <w:numPr>
          <w:ilvl w:val="0"/>
          <w:numId w:val="6"/>
        </w:numPr>
        <w:shd w:val="clear" w:color="auto" w:fill="DAE9F7" w:themeFill="text2" w:themeFillTint="1A"/>
        <w:jc w:val="both"/>
        <w:rPr>
          <w:rFonts w:ascii="Calibri" w:eastAsia="Calibri" w:hAnsi="Calibri" w:cs="Calibri"/>
          <w:i/>
          <w:iCs/>
          <w:sz w:val="24"/>
          <w:szCs w:val="24"/>
          <w:lang w:val="en-US"/>
        </w:rPr>
      </w:pPr>
      <w:r w:rsidRPr="35413D53">
        <w:rPr>
          <w:rFonts w:ascii="Calibri" w:eastAsia="Calibri" w:hAnsi="Calibri" w:cs="Calibri"/>
          <w:i/>
          <w:iCs/>
          <w:sz w:val="24"/>
          <w:szCs w:val="24"/>
          <w:lang w:val="en-US"/>
        </w:rPr>
        <w:t>Other supports available (e.g. one stop shop, access to installers, simplified administration)</w:t>
      </w:r>
    </w:p>
    <w:p w14:paraId="3B7B4E8F" w14:textId="1B4FC8D6" w:rsidR="006D032C" w:rsidRPr="006D032C" w:rsidRDefault="006D032C" w:rsidP="006D032C">
      <w:pPr>
        <w:pStyle w:val="Prrafodelista"/>
        <w:numPr>
          <w:ilvl w:val="0"/>
          <w:numId w:val="6"/>
        </w:numPr>
        <w:shd w:val="clear" w:color="auto" w:fill="DAE9F7" w:themeFill="text2" w:themeFillTint="1A"/>
        <w:jc w:val="both"/>
        <w:rPr>
          <w:rFonts w:ascii="Calibri" w:eastAsia="Calibri" w:hAnsi="Calibri" w:cs="Calibri"/>
          <w:i/>
          <w:iCs/>
          <w:sz w:val="24"/>
          <w:szCs w:val="24"/>
          <w:lang w:val="en-US"/>
        </w:rPr>
      </w:pPr>
      <w:r w:rsidRPr="35413D53">
        <w:rPr>
          <w:rFonts w:ascii="Calibri" w:eastAsia="Calibri" w:hAnsi="Calibri" w:cs="Calibri"/>
          <w:i/>
          <w:iCs/>
          <w:sz w:val="24"/>
          <w:szCs w:val="24"/>
          <w:lang w:val="en-US"/>
        </w:rPr>
        <w:t>Implications for households (e.g. possibility to sell the excess energy back to the grid, reduction in energy bills)</w:t>
      </w:r>
    </w:p>
    <w:p w14:paraId="679408CE" w14:textId="77777777" w:rsidR="00890E0F" w:rsidRPr="0013734F" w:rsidRDefault="00890E0F" w:rsidP="0013734F">
      <w:pPr>
        <w:pStyle w:val="NormalWeb"/>
        <w:spacing w:before="240" w:beforeAutospacing="0" w:after="240" w:afterAutospacing="0"/>
        <w:jc w:val="both"/>
        <w:rPr>
          <w:rFonts w:ascii="Calibri" w:hAnsi="Calibri" w:cs="Calibri"/>
          <w:lang w:val="en-GB"/>
        </w:rPr>
      </w:pPr>
      <w:r w:rsidRPr="0013734F">
        <w:rPr>
          <w:rFonts w:ascii="Calibri" w:hAnsi="Calibri" w:cs="Calibri"/>
          <w:lang w:val="en-GB"/>
        </w:rPr>
        <w:t>In Spain, there are several mechanisms and support programs for the decentralized production of renewable energy:</w:t>
      </w:r>
    </w:p>
    <w:p w14:paraId="7A1A7790" w14:textId="7A130D89" w:rsidR="00607D98" w:rsidRPr="0013734F" w:rsidRDefault="00607D98" w:rsidP="0013734F">
      <w:pPr>
        <w:pStyle w:val="NormalWeb"/>
        <w:spacing w:before="240" w:beforeAutospacing="0" w:after="240" w:afterAutospacing="0"/>
        <w:jc w:val="both"/>
        <w:rPr>
          <w:rFonts w:ascii="Calibri" w:hAnsi="Calibri" w:cs="Calibri"/>
          <w:color w:val="0070C0"/>
          <w:lang w:val="en-GB"/>
        </w:rPr>
      </w:pPr>
      <w:r w:rsidRPr="0013734F">
        <w:rPr>
          <w:rFonts w:ascii="Calibri" w:hAnsi="Calibri" w:cs="Calibri"/>
          <w:color w:val="0070C0"/>
          <w:lang w:val="en-GB"/>
        </w:rPr>
        <w:t xml:space="preserve">a) </w:t>
      </w:r>
      <w:r w:rsidR="0013734F" w:rsidRPr="0013734F">
        <w:rPr>
          <w:rFonts w:ascii="Calibri" w:hAnsi="Calibri" w:cs="Calibri"/>
          <w:color w:val="0070C0"/>
          <w:lang w:val="en-GB"/>
        </w:rPr>
        <w:t>COMMUNITY LEVEL</w:t>
      </w:r>
    </w:p>
    <w:p w14:paraId="5C541749" w14:textId="605064AB" w:rsidR="00890E0F" w:rsidRPr="00C6622A" w:rsidRDefault="00532BBF" w:rsidP="00C6622A">
      <w:pPr>
        <w:pStyle w:val="NormalWeb"/>
        <w:numPr>
          <w:ilvl w:val="0"/>
          <w:numId w:val="8"/>
        </w:numPr>
        <w:spacing w:before="240" w:beforeAutospacing="0" w:after="240" w:afterAutospacing="0"/>
        <w:jc w:val="both"/>
        <w:rPr>
          <w:rFonts w:ascii="Calibri" w:hAnsi="Calibri" w:cs="Calibri"/>
          <w:lang w:val="en-GB"/>
        </w:rPr>
      </w:pPr>
      <w:r>
        <w:rPr>
          <w:rStyle w:val="Textoennegrita"/>
          <w:rFonts w:ascii="Calibri" w:hAnsi="Calibri" w:cs="Calibri"/>
          <w:bCs w:val="0"/>
          <w:lang w:val="en-GB"/>
        </w:rPr>
        <w:t>Ley</w:t>
      </w:r>
      <w:r w:rsidR="00890E0F" w:rsidRPr="00C6622A">
        <w:rPr>
          <w:rFonts w:ascii="Calibri" w:hAnsi="Calibri" w:cs="Calibri"/>
          <w:lang w:val="en-GB"/>
        </w:rPr>
        <w:t xml:space="preserve"> </w:t>
      </w:r>
      <w:r w:rsidR="00890E0F" w:rsidRPr="00532BBF">
        <w:rPr>
          <w:rFonts w:ascii="Calibri" w:hAnsi="Calibri" w:cs="Calibri"/>
          <w:b/>
          <w:lang w:val="en-GB"/>
        </w:rPr>
        <w:t>24/2013 on the Electricity Sector</w:t>
      </w:r>
      <w:r>
        <w:rPr>
          <w:rFonts w:ascii="Calibri" w:hAnsi="Calibri" w:cs="Calibri"/>
          <w:lang w:val="en-GB"/>
        </w:rPr>
        <w:t>. It</w:t>
      </w:r>
      <w:r w:rsidR="00890E0F" w:rsidRPr="00C6622A">
        <w:rPr>
          <w:rFonts w:ascii="Calibri" w:hAnsi="Calibri" w:cs="Calibri"/>
          <w:lang w:val="en-GB"/>
        </w:rPr>
        <w:t xml:space="preserve"> introduces the concept of renewable energy communities. These are initiatives through which individuals, companies, or entities </w:t>
      </w:r>
      <w:r w:rsidR="006D032C" w:rsidRPr="00C6622A">
        <w:rPr>
          <w:rFonts w:ascii="Calibri" w:hAnsi="Calibri" w:cs="Calibri"/>
          <w:lang w:val="en-GB"/>
        </w:rPr>
        <w:t>join</w:t>
      </w:r>
      <w:r w:rsidR="00890E0F" w:rsidRPr="00C6622A">
        <w:rPr>
          <w:rFonts w:ascii="Calibri" w:hAnsi="Calibri" w:cs="Calibri"/>
          <w:lang w:val="en-GB"/>
        </w:rPr>
        <w:t xml:space="preserve"> to collectively produce, consume, store, or sell renewable energy.</w:t>
      </w:r>
    </w:p>
    <w:p w14:paraId="0036AD43" w14:textId="3742D9FE" w:rsidR="00890E0F" w:rsidRPr="0013734F" w:rsidRDefault="00890E0F" w:rsidP="0013734F">
      <w:pPr>
        <w:pStyle w:val="NormalWeb"/>
        <w:spacing w:before="240" w:beforeAutospacing="0" w:after="240" w:afterAutospacing="0"/>
        <w:jc w:val="both"/>
        <w:rPr>
          <w:rFonts w:ascii="Calibri" w:hAnsi="Calibri" w:cs="Calibri"/>
          <w:lang w:val="en-GB"/>
        </w:rPr>
      </w:pPr>
      <w:r w:rsidRPr="0013734F">
        <w:rPr>
          <w:rFonts w:ascii="Calibri" w:hAnsi="Calibri" w:cs="Calibri"/>
          <w:lang w:val="en-GB"/>
        </w:rPr>
        <w:t xml:space="preserve">Energy communities benefit from tax incentives and public aid. For example, the lasts proposals under the CE program of the </w:t>
      </w:r>
      <w:r w:rsidR="006D032C" w:rsidRPr="0013734F">
        <w:rPr>
          <w:rFonts w:ascii="Calibri" w:hAnsi="Calibri" w:cs="Calibri"/>
          <w:lang w:val="en-GB"/>
        </w:rPr>
        <w:t>Ministry for Ecological Transition and the Demographic Challenge</w:t>
      </w:r>
      <w:r w:rsidRPr="0013734F">
        <w:rPr>
          <w:rFonts w:ascii="Calibri" w:hAnsi="Calibri" w:cs="Calibri"/>
          <w:lang w:val="en-GB"/>
        </w:rPr>
        <w:t xml:space="preserve">, managed through the </w:t>
      </w:r>
      <w:r w:rsidR="006D032C" w:rsidRPr="0013734F">
        <w:rPr>
          <w:rFonts w:ascii="Calibri" w:hAnsi="Calibri" w:cs="Calibri"/>
          <w:lang w:val="en-GB"/>
        </w:rPr>
        <w:t>Institute for Energy Diversification and Saving</w:t>
      </w:r>
      <w:r w:rsidRPr="0013734F">
        <w:rPr>
          <w:rFonts w:ascii="Calibri" w:hAnsi="Calibri" w:cs="Calibri"/>
          <w:lang w:val="en-GB"/>
        </w:rPr>
        <w:t xml:space="preserve"> (IDAE), provide €120 million (from Next Generation EU funds) to promote the creation of energy communities in Spain (Gobierno de España, 2024).</w:t>
      </w:r>
      <w:r w:rsidR="006D032C" w:rsidRPr="0013734F">
        <w:rPr>
          <w:rFonts w:ascii="Calibri" w:hAnsi="Calibri" w:cs="Calibri"/>
          <w:lang w:val="en-GB"/>
        </w:rPr>
        <w:t xml:space="preserve"> This includes initiatives such as the installation of photovoltaic solar panels in residential communities or the creation of renewable energy networks in rural areas.</w:t>
      </w:r>
    </w:p>
    <w:p w14:paraId="1A224425" w14:textId="67B23445" w:rsidR="00A244F8" w:rsidRPr="0013734F" w:rsidRDefault="00890E0F" w:rsidP="0013734F">
      <w:pPr>
        <w:pStyle w:val="NormalWeb"/>
        <w:spacing w:before="240" w:beforeAutospacing="0" w:after="240" w:afterAutospacing="0"/>
        <w:jc w:val="both"/>
        <w:rPr>
          <w:rFonts w:ascii="Calibri" w:hAnsi="Calibri" w:cs="Calibri"/>
          <w:lang w:val="en-GB"/>
        </w:rPr>
      </w:pPr>
      <w:r w:rsidRPr="0013734F">
        <w:rPr>
          <w:rFonts w:ascii="Calibri" w:hAnsi="Calibri" w:cs="Calibri"/>
          <w:lang w:val="en-GB"/>
        </w:rPr>
        <w:t>Regarding vulnerable groups, Section 4.F of Article 12 bis, "Renewable Energy Commun</w:t>
      </w:r>
      <w:r w:rsidR="006D032C" w:rsidRPr="0013734F">
        <w:rPr>
          <w:rFonts w:ascii="Calibri" w:hAnsi="Calibri" w:cs="Calibri"/>
          <w:lang w:val="en-GB"/>
        </w:rPr>
        <w:t>ities</w:t>
      </w:r>
      <w:r w:rsidRPr="0013734F">
        <w:rPr>
          <w:rFonts w:ascii="Calibri" w:hAnsi="Calibri" w:cs="Calibri"/>
          <w:lang w:val="en-GB"/>
        </w:rPr>
        <w:t>"</w:t>
      </w:r>
      <w:r w:rsidR="006D032C" w:rsidRPr="0013734F">
        <w:rPr>
          <w:rFonts w:ascii="Calibri" w:hAnsi="Calibri" w:cs="Calibri"/>
          <w:lang w:val="en-GB"/>
        </w:rPr>
        <w:t xml:space="preserve"> </w:t>
      </w:r>
      <w:r w:rsidRPr="0013734F">
        <w:rPr>
          <w:rFonts w:ascii="Calibri" w:hAnsi="Calibri" w:cs="Calibri"/>
          <w:lang w:val="en-GB"/>
        </w:rPr>
        <w:t>states</w:t>
      </w:r>
      <w:r w:rsidR="006D032C" w:rsidRPr="0013734F">
        <w:rPr>
          <w:rFonts w:ascii="Calibri" w:hAnsi="Calibri" w:cs="Calibri"/>
          <w:lang w:val="en-GB"/>
        </w:rPr>
        <w:t>:</w:t>
      </w:r>
      <w:r w:rsidRPr="0013734F">
        <w:rPr>
          <w:rFonts w:ascii="Calibri" w:hAnsi="Calibri" w:cs="Calibri"/>
          <w:lang w:val="en-GB"/>
        </w:rPr>
        <w:t xml:space="preserve"> "participation in renewable energy communities will be accessible to all consumers, including those from low-income or vulnerable households" (Ley 24/2013). </w:t>
      </w:r>
    </w:p>
    <w:p w14:paraId="1B314B8E" w14:textId="623C0AF2" w:rsidR="00607D98" w:rsidRPr="0013734F" w:rsidRDefault="00607D98" w:rsidP="0013734F">
      <w:pPr>
        <w:pStyle w:val="NormalWeb"/>
        <w:spacing w:before="240" w:beforeAutospacing="0" w:after="240" w:afterAutospacing="0"/>
        <w:jc w:val="both"/>
        <w:rPr>
          <w:rFonts w:ascii="Calibri" w:hAnsi="Calibri" w:cs="Calibri"/>
          <w:color w:val="0070C0"/>
          <w:lang w:val="en-GB"/>
        </w:rPr>
      </w:pPr>
      <w:r w:rsidRPr="0013734F">
        <w:rPr>
          <w:rFonts w:ascii="Calibri" w:hAnsi="Calibri" w:cs="Calibri"/>
          <w:color w:val="0070C0"/>
          <w:lang w:val="en-GB"/>
        </w:rPr>
        <w:lastRenderedPageBreak/>
        <w:t xml:space="preserve">b) </w:t>
      </w:r>
      <w:r w:rsidR="0013734F" w:rsidRPr="0013734F">
        <w:rPr>
          <w:rFonts w:ascii="Calibri" w:hAnsi="Calibri" w:cs="Calibri"/>
          <w:color w:val="0070C0"/>
          <w:lang w:val="en-GB"/>
        </w:rPr>
        <w:t>INDIVIDUAL/HOUSEHOLD LEVEL</w:t>
      </w:r>
    </w:p>
    <w:p w14:paraId="0A5AD864" w14:textId="0B5B5CD0" w:rsidR="006D032C" w:rsidRPr="0013734F" w:rsidRDefault="006D032C" w:rsidP="00C6622A">
      <w:pPr>
        <w:pStyle w:val="NormalWeb"/>
        <w:numPr>
          <w:ilvl w:val="0"/>
          <w:numId w:val="13"/>
        </w:numPr>
        <w:spacing w:before="240" w:beforeAutospacing="0" w:after="240" w:afterAutospacing="0"/>
        <w:jc w:val="both"/>
        <w:rPr>
          <w:rStyle w:val="Textoennegrita"/>
          <w:rFonts w:ascii="Calibri" w:hAnsi="Calibri" w:cs="Calibri"/>
          <w:b w:val="0"/>
          <w:bCs w:val="0"/>
          <w:lang w:val="en-GB"/>
        </w:rPr>
      </w:pPr>
      <w:r w:rsidRPr="0013734F">
        <w:rPr>
          <w:rStyle w:val="Textoennegrita"/>
          <w:rFonts w:ascii="Calibri" w:eastAsiaTheme="majorEastAsia" w:hAnsi="Calibri" w:cs="Calibri"/>
          <w:lang w:val="en-GB"/>
        </w:rPr>
        <w:t>Self-consumption with Renewable Energy</w:t>
      </w:r>
      <w:r w:rsidR="0013734F" w:rsidRPr="0013734F">
        <w:rPr>
          <w:rStyle w:val="Textoennegrita"/>
          <w:rFonts w:ascii="Calibri" w:eastAsiaTheme="majorEastAsia" w:hAnsi="Calibri" w:cs="Calibri"/>
          <w:lang w:val="en-GB"/>
        </w:rPr>
        <w:t xml:space="preserve"> </w:t>
      </w:r>
    </w:p>
    <w:p w14:paraId="4D2C3484" w14:textId="5A2C2927" w:rsidR="00607D98" w:rsidRPr="0013734F" w:rsidRDefault="006D032C" w:rsidP="0013734F">
      <w:pPr>
        <w:pStyle w:val="NormalWeb"/>
        <w:spacing w:before="240" w:beforeAutospacing="0" w:after="240" w:afterAutospacing="0"/>
        <w:jc w:val="both"/>
        <w:rPr>
          <w:rFonts w:ascii="Calibri" w:hAnsi="Calibri" w:cs="Calibri"/>
          <w:lang w:val="en-GB"/>
        </w:rPr>
      </w:pPr>
      <w:r w:rsidRPr="0013734F">
        <w:rPr>
          <w:rStyle w:val="Textoennegrita"/>
          <w:rFonts w:ascii="Calibri" w:eastAsiaTheme="majorEastAsia" w:hAnsi="Calibri" w:cs="Calibri"/>
          <w:b w:val="0"/>
          <w:lang w:val="en-GB"/>
        </w:rPr>
        <w:t>Individual self-consumption of renewable energy (especially through photovoltaic solar panels) is supported in Spain through a series of subsidies and public aid</w:t>
      </w:r>
      <w:r w:rsidR="00607D98" w:rsidRPr="0013734F">
        <w:rPr>
          <w:rFonts w:ascii="Calibri" w:hAnsi="Calibri" w:cs="Calibri"/>
          <w:lang w:val="en-GB"/>
        </w:rPr>
        <w:t>:</w:t>
      </w:r>
    </w:p>
    <w:p w14:paraId="486CA93B" w14:textId="014ADB4D" w:rsidR="007021A7" w:rsidRPr="0013734F" w:rsidRDefault="00607D98" w:rsidP="0013734F">
      <w:pPr>
        <w:pStyle w:val="NormalWeb"/>
        <w:numPr>
          <w:ilvl w:val="0"/>
          <w:numId w:val="11"/>
        </w:numPr>
        <w:spacing w:before="240" w:beforeAutospacing="0" w:after="240" w:afterAutospacing="0"/>
        <w:jc w:val="both"/>
        <w:rPr>
          <w:rFonts w:ascii="Calibri" w:hAnsi="Calibri" w:cs="Calibri"/>
          <w:lang w:val="es-ES"/>
        </w:rPr>
      </w:pPr>
      <w:r w:rsidRPr="0013734F">
        <w:rPr>
          <w:rStyle w:val="Textoennegrita"/>
          <w:rFonts w:ascii="Calibri" w:eastAsiaTheme="majorEastAsia" w:hAnsi="Calibri" w:cs="Calibri"/>
          <w:lang w:val="es-ES"/>
        </w:rPr>
        <w:t>Real Decreto 900/2015</w:t>
      </w:r>
      <w:r w:rsidR="007021A7" w:rsidRPr="0013734F">
        <w:rPr>
          <w:rStyle w:val="Textoennegrita"/>
          <w:rFonts w:ascii="Calibri" w:eastAsiaTheme="majorEastAsia" w:hAnsi="Calibri" w:cs="Calibri"/>
          <w:lang w:val="es-ES"/>
        </w:rPr>
        <w:t xml:space="preserve">, </w:t>
      </w:r>
      <w:r w:rsidR="007021A7" w:rsidRPr="0013734F">
        <w:rPr>
          <w:rStyle w:val="Textoennegrita"/>
          <w:rFonts w:ascii="Calibri" w:eastAsiaTheme="majorEastAsia" w:hAnsi="Calibri" w:cs="Calibri"/>
          <w:b w:val="0"/>
          <w:lang w:val="es-ES"/>
        </w:rPr>
        <w:t>regulating the administrative, technical and economic conditions of the modalities of supply of electrical energy with self-consumption and production with self-consumption.</w:t>
      </w:r>
      <w:r w:rsidRPr="0013734F">
        <w:rPr>
          <w:rFonts w:ascii="Calibri" w:hAnsi="Calibri" w:cs="Calibri"/>
          <w:lang w:val="es-ES"/>
        </w:rPr>
        <w:t xml:space="preserve"> </w:t>
      </w:r>
    </w:p>
    <w:p w14:paraId="582EC346" w14:textId="551BE3FC" w:rsidR="007021A7" w:rsidRPr="0013734F" w:rsidRDefault="007021A7" w:rsidP="0013734F">
      <w:pPr>
        <w:pStyle w:val="NormalWeb"/>
        <w:spacing w:before="240" w:beforeAutospacing="0" w:after="240" w:afterAutospacing="0"/>
        <w:jc w:val="both"/>
        <w:rPr>
          <w:rFonts w:ascii="Calibri" w:hAnsi="Calibri" w:cs="Calibri"/>
          <w:lang w:val="en-GB"/>
        </w:rPr>
      </w:pPr>
      <w:r w:rsidRPr="0013734F">
        <w:rPr>
          <w:rFonts w:ascii="Calibri" w:hAnsi="Calibri" w:cs="Calibri"/>
          <w:lang w:val="en-GB"/>
        </w:rPr>
        <w:t>This Royal Decree establishes the basis for individual self-consumption of electricity. It allows individuals to install self-consumption systems (mainly photovoltaic) and consume the energy they generate, with tax and economic benefits, such as exemption from certain grid usage charges. In general terms, the Royal Decree "establishes that those who produce and consume their own energy without being connected to the electricity grid do not have to bear any costs of the electricity system, since they do not use it" (Asociación Empresarial Eólica, 2018).</w:t>
      </w:r>
    </w:p>
    <w:p w14:paraId="587481EB" w14:textId="6B609B36" w:rsidR="007021A7" w:rsidRPr="0013734F" w:rsidRDefault="007021A7" w:rsidP="0013734F">
      <w:pPr>
        <w:pStyle w:val="NormalWeb"/>
        <w:numPr>
          <w:ilvl w:val="0"/>
          <w:numId w:val="11"/>
        </w:numPr>
        <w:spacing w:before="240" w:beforeAutospacing="0" w:after="240" w:afterAutospacing="0"/>
        <w:jc w:val="both"/>
        <w:rPr>
          <w:rFonts w:ascii="Calibri" w:eastAsiaTheme="majorEastAsia" w:hAnsi="Calibri" w:cs="Calibri"/>
          <w:b/>
          <w:bCs/>
          <w:lang w:val="es-ES"/>
        </w:rPr>
      </w:pPr>
      <w:r w:rsidRPr="0013734F">
        <w:rPr>
          <w:rStyle w:val="Textoennegrita"/>
          <w:rFonts w:ascii="Calibri" w:eastAsiaTheme="majorEastAsia" w:hAnsi="Calibri" w:cs="Calibri"/>
          <w:lang w:val="es-ES"/>
        </w:rPr>
        <w:t xml:space="preserve">Real Decreto-ley 15/2018, </w:t>
      </w:r>
      <w:r w:rsidRPr="0013734F">
        <w:rPr>
          <w:rStyle w:val="Textoennegrita"/>
          <w:rFonts w:ascii="Calibri" w:eastAsiaTheme="majorEastAsia" w:hAnsi="Calibri" w:cs="Calibri"/>
          <w:b w:val="0"/>
          <w:lang w:val="es-ES"/>
        </w:rPr>
        <w:t xml:space="preserve">of </w:t>
      </w:r>
      <w:r w:rsidRPr="0013734F">
        <w:rPr>
          <w:rFonts w:ascii="Calibri" w:eastAsiaTheme="majorEastAsia" w:hAnsi="Calibri" w:cs="Calibri"/>
          <w:bCs/>
          <w:lang w:val="en"/>
        </w:rPr>
        <w:t>urgent measures for the energy transition and consumer protection.</w:t>
      </w:r>
    </w:p>
    <w:p w14:paraId="01EDFDFE" w14:textId="6A7BAD05" w:rsidR="007021A7" w:rsidRPr="0013734F" w:rsidRDefault="007021A7" w:rsidP="0013734F">
      <w:pPr>
        <w:pStyle w:val="NormalWeb"/>
        <w:spacing w:before="240" w:beforeAutospacing="0" w:after="240" w:afterAutospacing="0"/>
        <w:jc w:val="both"/>
        <w:rPr>
          <w:rFonts w:ascii="Calibri" w:hAnsi="Calibri" w:cs="Calibri"/>
          <w:lang w:val="en-GB"/>
        </w:rPr>
      </w:pPr>
      <w:r w:rsidRPr="0013734F">
        <w:rPr>
          <w:rStyle w:val="Textoennegrita"/>
          <w:rFonts w:ascii="Calibri" w:eastAsiaTheme="majorEastAsia" w:hAnsi="Calibri" w:cs="Calibri"/>
          <w:b w:val="0"/>
          <w:lang w:val="en-GB"/>
        </w:rPr>
        <w:t xml:space="preserve">It seeks to advance toward a more sustainable, competitive and accessible energy system for all citizens. </w:t>
      </w:r>
      <w:r w:rsidR="0013734F" w:rsidRPr="0013734F">
        <w:rPr>
          <w:rStyle w:val="Textoennegrita"/>
          <w:rFonts w:ascii="Calibri" w:eastAsiaTheme="majorEastAsia" w:hAnsi="Calibri" w:cs="Calibri"/>
          <w:b w:val="0"/>
          <w:lang w:val="en-GB"/>
        </w:rPr>
        <w:t>In general terms</w:t>
      </w:r>
      <w:r w:rsidRPr="0013734F">
        <w:rPr>
          <w:rStyle w:val="Textoennegrita"/>
          <w:rFonts w:ascii="Calibri" w:eastAsiaTheme="majorEastAsia" w:hAnsi="Calibri" w:cs="Calibri"/>
          <w:b w:val="0"/>
          <w:lang w:val="en-GB"/>
        </w:rPr>
        <w:t>, it aims to facilitate self-consumption and self-generation of energy, especially with regard to the possibility for neighborhood communities to participate in the energy production and management process.</w:t>
      </w:r>
      <w:r w:rsidR="0013734F" w:rsidRPr="0013734F">
        <w:rPr>
          <w:rStyle w:val="Textoennegrita"/>
          <w:rFonts w:ascii="Calibri" w:eastAsiaTheme="majorEastAsia" w:hAnsi="Calibri" w:cs="Calibri"/>
          <w:b w:val="0"/>
          <w:lang w:val="en-GB"/>
        </w:rPr>
        <w:t xml:space="preserve"> More specifically, key points include facilitating self-consumption of electricity at the residential and industrial levels, introducing collective self-consumption, simplifying administrative procedures for installing self-consumption systems, and promoting the sale of surplus energy to the grid.</w:t>
      </w:r>
    </w:p>
    <w:p w14:paraId="2B9D11CC" w14:textId="362DF3EF" w:rsidR="0013734F" w:rsidRPr="00134BB6" w:rsidRDefault="0013734F" w:rsidP="00C6622A">
      <w:pPr>
        <w:pStyle w:val="NormalWeb"/>
        <w:numPr>
          <w:ilvl w:val="0"/>
          <w:numId w:val="13"/>
        </w:numPr>
        <w:spacing w:before="240" w:beforeAutospacing="0" w:after="240" w:afterAutospacing="0"/>
        <w:jc w:val="both"/>
        <w:rPr>
          <w:rFonts w:ascii="Calibri" w:hAnsi="Calibri" w:cs="Calibri"/>
          <w:lang w:val="en-GB"/>
        </w:rPr>
      </w:pPr>
      <w:r w:rsidRPr="00134BB6">
        <w:rPr>
          <w:rStyle w:val="Textoennegrita"/>
          <w:rFonts w:ascii="Calibri" w:eastAsiaTheme="majorEastAsia" w:hAnsi="Calibri" w:cs="Calibri"/>
          <w:lang w:val="en-GB"/>
        </w:rPr>
        <w:t>Regional grants</w:t>
      </w:r>
      <w:r w:rsidR="00607D98" w:rsidRPr="00134BB6">
        <w:rPr>
          <w:rFonts w:ascii="Calibri" w:hAnsi="Calibri" w:cs="Calibri"/>
          <w:lang w:val="en-GB"/>
        </w:rPr>
        <w:t xml:space="preserve"> </w:t>
      </w:r>
    </w:p>
    <w:p w14:paraId="30F9D9F9" w14:textId="749E55A6" w:rsidR="0013734F" w:rsidRPr="00134BB6" w:rsidRDefault="0013734F" w:rsidP="0013734F">
      <w:pPr>
        <w:pStyle w:val="NormalWeb"/>
        <w:spacing w:before="240" w:after="240"/>
        <w:jc w:val="both"/>
        <w:rPr>
          <w:rFonts w:ascii="Calibri" w:hAnsi="Calibri" w:cs="Calibri"/>
          <w:lang w:val="en-GB"/>
        </w:rPr>
      </w:pPr>
      <w:r w:rsidRPr="00134BB6">
        <w:rPr>
          <w:rFonts w:ascii="Calibri" w:hAnsi="Calibri" w:cs="Calibri"/>
          <w:lang w:val="en-GB"/>
        </w:rPr>
        <w:t>The different regions in Spain (Comunidades Autónomas) also have their own aid and subsidy programs to promote self-consumption. For example, in 2023, the Energy Foundation managed €272.5 million in aid to promote self-consumption, energy storage, and the installation of renewable thermal systems in the Community of Madrid (Fundación de la energía, 2023).</w:t>
      </w:r>
    </w:p>
    <w:p w14:paraId="5FF53515" w14:textId="5A41C032" w:rsidR="000B03E7" w:rsidRPr="00134BB6" w:rsidRDefault="000B03E7" w:rsidP="0013734F">
      <w:pPr>
        <w:pStyle w:val="NormalWeb"/>
        <w:spacing w:before="240" w:after="240"/>
        <w:jc w:val="both"/>
        <w:rPr>
          <w:rFonts w:ascii="Calibri" w:hAnsi="Calibri" w:cs="Calibri"/>
          <w:lang w:val="en-GB"/>
        </w:rPr>
      </w:pPr>
      <w:r w:rsidRPr="00134BB6">
        <w:rPr>
          <w:rFonts w:ascii="Calibri" w:hAnsi="Calibri" w:cs="Calibri"/>
          <w:lang w:val="en-GB"/>
        </w:rPr>
        <w:t>Other more recent regional, provincial and local grants are (SENDA, 2025):</w:t>
      </w:r>
    </w:p>
    <w:p w14:paraId="6F3B2263" w14:textId="418E58D6" w:rsidR="000B03E7" w:rsidRPr="00134BB6" w:rsidRDefault="000B03E7" w:rsidP="000B03E7">
      <w:pPr>
        <w:pStyle w:val="NormalWeb"/>
        <w:numPr>
          <w:ilvl w:val="0"/>
          <w:numId w:val="11"/>
        </w:numPr>
        <w:spacing w:before="120" w:beforeAutospacing="0" w:after="120" w:afterAutospacing="0"/>
        <w:ind w:left="1077" w:hanging="357"/>
        <w:jc w:val="both"/>
        <w:rPr>
          <w:rFonts w:ascii="Calibri" w:hAnsi="Calibri" w:cs="Calibri"/>
          <w:lang w:val="en-GB"/>
        </w:rPr>
      </w:pPr>
      <w:r w:rsidRPr="00134BB6">
        <w:rPr>
          <w:rFonts w:ascii="Calibri" w:hAnsi="Calibri" w:cs="Calibri"/>
          <w:lang w:val="en-GB"/>
        </w:rPr>
        <w:t>Galicia: INEGA (the regional energy institute) has been calling for grants for energy planning for local entities and energy communities for two years (2024 and 2025).</w:t>
      </w:r>
    </w:p>
    <w:p w14:paraId="7C1A374A" w14:textId="5A1192D7" w:rsidR="000B03E7" w:rsidRPr="00134BB6" w:rsidRDefault="000B03E7" w:rsidP="000B03E7">
      <w:pPr>
        <w:pStyle w:val="NormalWeb"/>
        <w:numPr>
          <w:ilvl w:val="0"/>
          <w:numId w:val="11"/>
        </w:numPr>
        <w:spacing w:before="120" w:beforeAutospacing="0" w:after="120" w:afterAutospacing="0"/>
        <w:ind w:left="1077" w:hanging="357"/>
        <w:jc w:val="both"/>
        <w:rPr>
          <w:rFonts w:ascii="Calibri" w:hAnsi="Calibri" w:cs="Calibri"/>
          <w:lang w:val="en-GB"/>
        </w:rPr>
      </w:pPr>
      <w:r w:rsidRPr="00134BB6">
        <w:rPr>
          <w:rFonts w:ascii="Calibri" w:hAnsi="Calibri" w:cs="Calibri"/>
          <w:lang w:val="en-GB"/>
        </w:rPr>
        <w:t>Basque Country: both the Provincial Council of Bizkaia and the City Councils of San Sebastián and Vitoria have subsidies for actions related to climate change and energy transition. These include subsidies for the creation of renewable energy communities and investment in photovoltaic installations.</w:t>
      </w:r>
    </w:p>
    <w:p w14:paraId="66457DC2" w14:textId="796BB0C0" w:rsidR="000B03E7" w:rsidRPr="00134BB6" w:rsidRDefault="000B03E7" w:rsidP="000B03E7">
      <w:pPr>
        <w:pStyle w:val="NormalWeb"/>
        <w:numPr>
          <w:ilvl w:val="0"/>
          <w:numId w:val="11"/>
        </w:numPr>
        <w:spacing w:before="120" w:beforeAutospacing="0" w:after="120" w:afterAutospacing="0"/>
        <w:jc w:val="both"/>
        <w:rPr>
          <w:rFonts w:ascii="Calibri" w:hAnsi="Calibri" w:cs="Calibri"/>
          <w:lang w:val="en-GB"/>
        </w:rPr>
      </w:pPr>
      <w:r w:rsidRPr="00134BB6">
        <w:rPr>
          <w:rFonts w:ascii="Calibri" w:hAnsi="Calibri" w:cs="Calibri"/>
          <w:lang w:val="en-GB"/>
        </w:rPr>
        <w:t xml:space="preserve">Balearic Islands: the regional government offers subsidies for: 1) the promotion of collective self-consumption facilities with or without electricity storage using </w:t>
      </w:r>
      <w:r w:rsidRPr="00134BB6">
        <w:rPr>
          <w:rFonts w:ascii="Calibri" w:hAnsi="Calibri" w:cs="Calibri"/>
          <w:lang w:val="en-GB"/>
        </w:rPr>
        <w:lastRenderedPageBreak/>
        <w:t>renewable energy sources and; 2) the promotion of energy communities, homeowners' associations, business associations, and non-profit entities.</w:t>
      </w:r>
    </w:p>
    <w:p w14:paraId="3368B6DA" w14:textId="46708077" w:rsidR="000B03E7" w:rsidRPr="00134BB6" w:rsidRDefault="000B03E7" w:rsidP="000B03E7">
      <w:pPr>
        <w:pStyle w:val="NormalWeb"/>
        <w:numPr>
          <w:ilvl w:val="0"/>
          <w:numId w:val="11"/>
        </w:numPr>
        <w:spacing w:before="120" w:beforeAutospacing="0" w:after="120" w:afterAutospacing="0"/>
        <w:jc w:val="both"/>
        <w:rPr>
          <w:rFonts w:ascii="Calibri" w:hAnsi="Calibri" w:cs="Calibri"/>
          <w:lang w:val="en-GB"/>
        </w:rPr>
      </w:pPr>
      <w:r w:rsidRPr="00134BB6">
        <w:rPr>
          <w:rFonts w:ascii="Calibri" w:hAnsi="Calibri" w:cs="Calibri"/>
          <w:lang w:val="en-GB"/>
        </w:rPr>
        <w:t>Valencia: the Valencian Institute for Business Competitiveness (IVACE) offers grants to promote self-consumption electricity installations under the renewable energy community scheme. The Alicante Provincial Council is conducting studies for the development and implementation of local energy communities.</w:t>
      </w:r>
    </w:p>
    <w:p w14:paraId="46C05815" w14:textId="1B026333" w:rsidR="00134BB6" w:rsidRPr="00134BB6" w:rsidRDefault="00134BB6" w:rsidP="00134BB6">
      <w:pPr>
        <w:pStyle w:val="NormalWeb"/>
        <w:numPr>
          <w:ilvl w:val="0"/>
          <w:numId w:val="11"/>
        </w:numPr>
        <w:spacing w:before="120" w:beforeAutospacing="0" w:after="120" w:afterAutospacing="0"/>
        <w:jc w:val="both"/>
        <w:rPr>
          <w:rFonts w:ascii="Calibri" w:hAnsi="Calibri" w:cs="Calibri"/>
          <w:lang w:val="en-GB"/>
        </w:rPr>
      </w:pPr>
      <w:r w:rsidRPr="00134BB6">
        <w:rPr>
          <w:rFonts w:ascii="Calibri" w:hAnsi="Calibri" w:cs="Calibri"/>
          <w:lang w:val="en-GB"/>
        </w:rPr>
        <w:t>Extremadura: the Provincial Council of Cáceres encourages the creation of local energy communities with the participation of municipalities in the province of Cáceres with a population of up to 5,000.</w:t>
      </w:r>
    </w:p>
    <w:p w14:paraId="45A464E2" w14:textId="08D025B1" w:rsidR="00134BB6" w:rsidRDefault="00134BB6" w:rsidP="00134BB6">
      <w:pPr>
        <w:pStyle w:val="NormalWeb"/>
        <w:numPr>
          <w:ilvl w:val="0"/>
          <w:numId w:val="11"/>
        </w:numPr>
        <w:spacing w:before="120" w:beforeAutospacing="0" w:after="120" w:afterAutospacing="0"/>
        <w:jc w:val="both"/>
        <w:rPr>
          <w:rFonts w:ascii="Calibri" w:hAnsi="Calibri" w:cs="Calibri"/>
          <w:lang w:val="en-GB"/>
        </w:rPr>
      </w:pPr>
      <w:r w:rsidRPr="00134BB6">
        <w:rPr>
          <w:rFonts w:ascii="Calibri" w:hAnsi="Calibri" w:cs="Calibri"/>
          <w:lang w:val="en-GB"/>
        </w:rPr>
        <w:t>Canary Islands: the Canary Islands Government provides subsidies to promote shared self-consumption and the development of energy communities in various productive sectors (except industry). It also promotes photovoltaic generation in anthropized areas.</w:t>
      </w:r>
    </w:p>
    <w:p w14:paraId="34429C51" w14:textId="39A7C24B" w:rsidR="00134BB6" w:rsidRDefault="00134BB6" w:rsidP="00134BB6">
      <w:pPr>
        <w:pStyle w:val="NormalWeb"/>
        <w:numPr>
          <w:ilvl w:val="0"/>
          <w:numId w:val="11"/>
        </w:numPr>
        <w:spacing w:before="120" w:beforeAutospacing="0" w:after="120" w:afterAutospacing="0"/>
        <w:jc w:val="both"/>
        <w:rPr>
          <w:rFonts w:ascii="Calibri" w:hAnsi="Calibri" w:cs="Calibri"/>
          <w:lang w:val="en-GB"/>
        </w:rPr>
      </w:pPr>
      <w:r>
        <w:rPr>
          <w:rFonts w:ascii="Calibri" w:hAnsi="Calibri" w:cs="Calibri"/>
          <w:lang w:val="en-GB"/>
        </w:rPr>
        <w:t>Catalonia: t</w:t>
      </w:r>
      <w:r w:rsidRPr="00134BB6">
        <w:rPr>
          <w:rFonts w:ascii="Calibri" w:hAnsi="Calibri" w:cs="Calibri"/>
          <w:lang w:val="en-GB"/>
        </w:rPr>
        <w:t>he Catalan Energy Institute (ICAEN) has planned grants to support cooperatives and/or citizen self-organization associations that include the development of management and operating models for energy communities (SOLARCOOP).</w:t>
      </w:r>
    </w:p>
    <w:p w14:paraId="73D587DE" w14:textId="38A07444" w:rsidR="00134BB6" w:rsidRDefault="00134BB6" w:rsidP="00134BB6">
      <w:pPr>
        <w:pStyle w:val="NormalWeb"/>
        <w:numPr>
          <w:ilvl w:val="0"/>
          <w:numId w:val="11"/>
        </w:numPr>
        <w:spacing w:before="120" w:beforeAutospacing="0" w:after="120" w:afterAutospacing="0"/>
        <w:jc w:val="both"/>
        <w:rPr>
          <w:rFonts w:ascii="Calibri" w:hAnsi="Calibri" w:cs="Calibri"/>
          <w:lang w:val="en-GB"/>
        </w:rPr>
      </w:pPr>
      <w:r w:rsidRPr="00134BB6">
        <w:rPr>
          <w:rFonts w:ascii="Calibri" w:hAnsi="Calibri" w:cs="Calibri"/>
          <w:lang w:val="en-GB"/>
        </w:rPr>
        <w:t>Aragon: The Provincial Council of Zaragoza has an energy infrastructure plan for self-consumption and efficiency improvements.</w:t>
      </w:r>
    </w:p>
    <w:p w14:paraId="7E99234D" w14:textId="52AACC85" w:rsidR="00134BB6" w:rsidRPr="00134BB6" w:rsidRDefault="00134BB6" w:rsidP="00134BB6">
      <w:pPr>
        <w:pStyle w:val="NormalWeb"/>
        <w:spacing w:before="120" w:beforeAutospacing="0" w:after="120" w:afterAutospacing="0"/>
        <w:jc w:val="both"/>
        <w:rPr>
          <w:rFonts w:ascii="Calibri" w:hAnsi="Calibri" w:cs="Calibri"/>
          <w:lang w:val="en-GB"/>
        </w:rPr>
      </w:pPr>
      <w:r w:rsidRPr="00134BB6">
        <w:rPr>
          <w:rFonts w:ascii="Calibri" w:hAnsi="Calibri" w:cs="Calibri"/>
          <w:lang w:val="en-GB"/>
        </w:rPr>
        <w:t>Although each call has specific conditions, two common requirements can be established (SENDA, 2025): 1) Energy Communities must have a minimum number of members and a series of documentation to demonstrate their creation and; 2) a technical-economic feasibility plan must be presented, and the investments and expenses incurred associated with the eligible actions must be justified.</w:t>
      </w:r>
    </w:p>
    <w:p w14:paraId="7AA22860" w14:textId="0432EC14" w:rsidR="00607D98" w:rsidRPr="00C6622A" w:rsidRDefault="00C6622A" w:rsidP="00C6622A">
      <w:pPr>
        <w:pStyle w:val="NormalWeb"/>
        <w:numPr>
          <w:ilvl w:val="0"/>
          <w:numId w:val="13"/>
        </w:numPr>
        <w:spacing w:before="240" w:beforeAutospacing="0" w:after="240" w:afterAutospacing="0"/>
        <w:jc w:val="both"/>
        <w:rPr>
          <w:rFonts w:ascii="Calibri" w:hAnsi="Calibri" w:cs="Calibri"/>
          <w:lang w:val="en-GB"/>
        </w:rPr>
      </w:pPr>
      <w:r w:rsidRPr="00C6622A">
        <w:rPr>
          <w:rStyle w:val="Textoennegrita"/>
          <w:rFonts w:ascii="Calibri" w:eastAsiaTheme="majorEastAsia" w:hAnsi="Calibri" w:cs="Calibri"/>
          <w:lang w:val="en-GB"/>
        </w:rPr>
        <w:t>Tax i</w:t>
      </w:r>
      <w:r w:rsidR="00607D98" w:rsidRPr="00C6622A">
        <w:rPr>
          <w:rStyle w:val="Textoennegrita"/>
          <w:rFonts w:ascii="Calibri" w:eastAsiaTheme="majorEastAsia" w:hAnsi="Calibri" w:cs="Calibri"/>
          <w:lang w:val="en-GB"/>
        </w:rPr>
        <w:t>ncentiv</w:t>
      </w:r>
      <w:r w:rsidRPr="00C6622A">
        <w:rPr>
          <w:rStyle w:val="Textoennegrita"/>
          <w:rFonts w:ascii="Calibri" w:eastAsiaTheme="majorEastAsia" w:hAnsi="Calibri" w:cs="Calibri"/>
          <w:lang w:val="en-GB"/>
        </w:rPr>
        <w:t>e</w:t>
      </w:r>
      <w:r w:rsidR="00607D98" w:rsidRPr="00C6622A">
        <w:rPr>
          <w:rStyle w:val="Textoennegrita"/>
          <w:rFonts w:ascii="Calibri" w:eastAsiaTheme="majorEastAsia" w:hAnsi="Calibri" w:cs="Calibri"/>
          <w:lang w:val="en-GB"/>
        </w:rPr>
        <w:t>s</w:t>
      </w:r>
    </w:p>
    <w:p w14:paraId="54E91EFF" w14:textId="77777777" w:rsidR="00C6622A" w:rsidRDefault="00C6622A" w:rsidP="00C6622A">
      <w:pPr>
        <w:pStyle w:val="Prrafodelista"/>
        <w:numPr>
          <w:ilvl w:val="0"/>
          <w:numId w:val="12"/>
        </w:numPr>
        <w:jc w:val="both"/>
        <w:rPr>
          <w:rFonts w:ascii="Calibri" w:eastAsia="Calibri" w:hAnsi="Calibri" w:cs="Calibri"/>
          <w:sz w:val="24"/>
          <w:szCs w:val="24"/>
          <w:lang w:val="en-GB"/>
        </w:rPr>
      </w:pPr>
      <w:r w:rsidRPr="00C6622A">
        <w:rPr>
          <w:rFonts w:ascii="Calibri" w:eastAsia="Calibri" w:hAnsi="Calibri" w:cs="Calibri"/>
          <w:b/>
          <w:sz w:val="24"/>
          <w:szCs w:val="24"/>
          <w:lang w:val="en-GB"/>
        </w:rPr>
        <w:t>Ley 10/2022</w:t>
      </w:r>
      <w:r w:rsidRPr="00C6622A">
        <w:rPr>
          <w:rFonts w:ascii="Calibri" w:eastAsia="Calibri" w:hAnsi="Calibri" w:cs="Calibri"/>
          <w:sz w:val="24"/>
          <w:szCs w:val="24"/>
          <w:lang w:val="en-GB"/>
        </w:rPr>
        <w:t>, on urgent measures to promote building renovation activity in the context of the Recovery, Transformation and Resilience Plan (PRTR)</w:t>
      </w:r>
      <w:r>
        <w:rPr>
          <w:rFonts w:ascii="Calibri" w:eastAsia="Calibri" w:hAnsi="Calibri" w:cs="Calibri"/>
          <w:sz w:val="24"/>
          <w:szCs w:val="24"/>
          <w:lang w:val="en-GB"/>
        </w:rPr>
        <w:t>.</w:t>
      </w:r>
    </w:p>
    <w:p w14:paraId="6AD4D974" w14:textId="0105A063" w:rsidR="00C6622A" w:rsidRPr="00C6622A" w:rsidRDefault="00C6622A" w:rsidP="00C6622A">
      <w:pPr>
        <w:jc w:val="both"/>
        <w:rPr>
          <w:rFonts w:ascii="Calibri" w:eastAsia="Calibri" w:hAnsi="Calibri" w:cs="Calibri"/>
          <w:sz w:val="24"/>
          <w:szCs w:val="24"/>
          <w:lang w:val="en-GB"/>
        </w:rPr>
      </w:pPr>
      <w:r>
        <w:rPr>
          <w:rFonts w:ascii="Calibri" w:eastAsia="Calibri" w:hAnsi="Calibri" w:cs="Calibri"/>
          <w:sz w:val="24"/>
          <w:szCs w:val="24"/>
          <w:lang w:val="en-GB"/>
        </w:rPr>
        <w:t xml:space="preserve">It </w:t>
      </w:r>
      <w:r w:rsidRPr="00C6622A">
        <w:rPr>
          <w:rFonts w:ascii="Calibri" w:eastAsia="Calibri" w:hAnsi="Calibri" w:cs="Calibri"/>
          <w:sz w:val="24"/>
          <w:szCs w:val="24"/>
          <w:lang w:val="en-GB"/>
        </w:rPr>
        <w:t>introduced in its article 1, "Deduction in Personal Income Tax for energy efficiency improvement works in homes" several modifications to "</w:t>
      </w:r>
      <w:r>
        <w:rPr>
          <w:rFonts w:ascii="Calibri" w:eastAsia="Calibri" w:hAnsi="Calibri" w:cs="Calibri"/>
          <w:sz w:val="24"/>
          <w:szCs w:val="24"/>
          <w:lang w:val="en-GB"/>
        </w:rPr>
        <w:t>Ley</w:t>
      </w:r>
      <w:r w:rsidRPr="00C6622A">
        <w:rPr>
          <w:rFonts w:ascii="Calibri" w:eastAsia="Calibri" w:hAnsi="Calibri" w:cs="Calibri"/>
          <w:sz w:val="24"/>
          <w:szCs w:val="24"/>
          <w:lang w:val="en-GB"/>
        </w:rPr>
        <w:t xml:space="preserve"> 35/2006, of Novemb</w:t>
      </w:r>
      <w:r>
        <w:rPr>
          <w:rFonts w:ascii="Calibri" w:eastAsia="Calibri" w:hAnsi="Calibri" w:cs="Calibri"/>
          <w:sz w:val="24"/>
          <w:szCs w:val="24"/>
          <w:lang w:val="en-GB"/>
        </w:rPr>
        <w:t>er 28, on Personal Income Tax</w:t>
      </w:r>
      <w:r w:rsidRPr="00C6622A">
        <w:rPr>
          <w:rFonts w:ascii="Calibri" w:eastAsia="Calibri" w:hAnsi="Calibri" w:cs="Calibri"/>
          <w:sz w:val="24"/>
          <w:szCs w:val="24"/>
          <w:lang w:val="en-GB"/>
        </w:rPr>
        <w:t>", which establish tax benefits for the implementation of thermal renewables and, in general, the improvement of energy efficiency in homes</w:t>
      </w:r>
      <w:r>
        <w:rPr>
          <w:rFonts w:ascii="Calibri" w:eastAsia="Calibri" w:hAnsi="Calibri" w:cs="Calibri"/>
          <w:sz w:val="24"/>
          <w:szCs w:val="24"/>
          <w:lang w:val="en-GB"/>
        </w:rPr>
        <w:t xml:space="preserve"> (IDAE, n.d.)</w:t>
      </w:r>
      <w:r w:rsidRPr="00C6622A">
        <w:rPr>
          <w:rFonts w:ascii="Calibri" w:eastAsia="Calibri" w:hAnsi="Calibri" w:cs="Calibri"/>
          <w:sz w:val="24"/>
          <w:szCs w:val="24"/>
          <w:lang w:val="en-GB"/>
        </w:rPr>
        <w:t>.</w:t>
      </w:r>
      <w:r>
        <w:rPr>
          <w:rFonts w:ascii="Calibri" w:eastAsia="Calibri" w:hAnsi="Calibri" w:cs="Calibri"/>
          <w:sz w:val="24"/>
          <w:szCs w:val="24"/>
          <w:lang w:val="en-GB"/>
        </w:rPr>
        <w:t xml:space="preserve"> </w:t>
      </w:r>
      <w:r w:rsidRPr="00C6622A">
        <w:rPr>
          <w:rFonts w:ascii="Calibri" w:eastAsia="Calibri" w:hAnsi="Calibri" w:cs="Calibri"/>
          <w:sz w:val="24"/>
          <w:szCs w:val="24"/>
          <w:lang w:val="en-GB"/>
        </w:rPr>
        <w:t>The most notable deductions are</w:t>
      </w:r>
      <w:r>
        <w:rPr>
          <w:rFonts w:ascii="Calibri" w:eastAsia="Calibri" w:hAnsi="Calibri" w:cs="Calibri"/>
          <w:sz w:val="24"/>
          <w:szCs w:val="24"/>
          <w:lang w:val="en-GB"/>
        </w:rPr>
        <w:t xml:space="preserve"> (IDEA, n.d.)</w:t>
      </w:r>
      <w:r w:rsidRPr="00C6622A">
        <w:rPr>
          <w:rFonts w:ascii="Calibri" w:eastAsia="Calibri" w:hAnsi="Calibri" w:cs="Calibri"/>
          <w:sz w:val="24"/>
          <w:szCs w:val="24"/>
          <w:lang w:val="en-GB"/>
        </w:rPr>
        <w:t>:</w:t>
      </w:r>
    </w:p>
    <w:p w14:paraId="02A723F1" w14:textId="77777777" w:rsidR="00C6622A" w:rsidRPr="00C6622A" w:rsidRDefault="00C6622A" w:rsidP="00C6622A">
      <w:pPr>
        <w:pStyle w:val="NormalWeb"/>
        <w:numPr>
          <w:ilvl w:val="0"/>
          <w:numId w:val="11"/>
        </w:numPr>
        <w:spacing w:before="120" w:beforeAutospacing="0" w:after="120" w:afterAutospacing="0"/>
        <w:jc w:val="both"/>
        <w:rPr>
          <w:rFonts w:ascii="Calibri" w:hAnsi="Calibri" w:cs="Calibri"/>
          <w:lang w:val="en-GB"/>
        </w:rPr>
      </w:pPr>
      <w:r w:rsidRPr="00C6622A">
        <w:rPr>
          <w:rFonts w:ascii="Calibri" w:hAnsi="Calibri" w:cs="Calibri"/>
          <w:lang w:val="en-GB"/>
        </w:rPr>
        <w:t>A 20% deduction for amounts paid for projects that reduce heating and cooling demand in a primary residence by 7%, up to a maximum of €5,000 per dwelling.</w:t>
      </w:r>
    </w:p>
    <w:p w14:paraId="5065D74A" w14:textId="77777777" w:rsidR="00C6622A" w:rsidRPr="00C6622A" w:rsidRDefault="00C6622A" w:rsidP="00C6622A">
      <w:pPr>
        <w:pStyle w:val="NormalWeb"/>
        <w:numPr>
          <w:ilvl w:val="0"/>
          <w:numId w:val="11"/>
        </w:numPr>
        <w:spacing w:before="120" w:beforeAutospacing="0" w:after="120" w:afterAutospacing="0"/>
        <w:jc w:val="both"/>
        <w:rPr>
          <w:rFonts w:ascii="Calibri" w:hAnsi="Calibri" w:cs="Calibri"/>
          <w:lang w:val="en-GB"/>
        </w:rPr>
      </w:pPr>
      <w:r w:rsidRPr="00C6622A">
        <w:rPr>
          <w:rFonts w:ascii="Calibri" w:hAnsi="Calibri" w:cs="Calibri"/>
          <w:lang w:val="en-GB"/>
        </w:rPr>
        <w:t>A 40% deduction for projects that reduce non-renewable primary energy consumption by 30%, or for projects that achieve an "A" or "B" rating on the Building Energy Efficiency Certificate for a primary residence, up to a maximum of €7,500 per dwelling.</w:t>
      </w:r>
    </w:p>
    <w:p w14:paraId="4EBE3989" w14:textId="3A140AB7" w:rsidR="00607D98" w:rsidRPr="00C6622A" w:rsidRDefault="00C6622A" w:rsidP="00607D98">
      <w:pPr>
        <w:pStyle w:val="NormalWeb"/>
        <w:numPr>
          <w:ilvl w:val="0"/>
          <w:numId w:val="11"/>
        </w:numPr>
        <w:spacing w:before="120" w:beforeAutospacing="0" w:after="120" w:afterAutospacing="0"/>
        <w:jc w:val="both"/>
        <w:rPr>
          <w:rFonts w:ascii="Calibri" w:hAnsi="Calibri" w:cs="Calibri"/>
          <w:lang w:val="en-GB"/>
        </w:rPr>
      </w:pPr>
      <w:r w:rsidRPr="00C6622A">
        <w:rPr>
          <w:rFonts w:ascii="Calibri" w:hAnsi="Calibri" w:cs="Calibri"/>
          <w:lang w:val="en-GB"/>
        </w:rPr>
        <w:t xml:space="preserve">A 60% deduction for projects that reduce non-renewable primary energy consumption by 30%, or for projects that achieve an "A" or "B" rating on the </w:t>
      </w:r>
      <w:r w:rsidRPr="00C6622A">
        <w:rPr>
          <w:rFonts w:ascii="Calibri" w:hAnsi="Calibri" w:cs="Calibri"/>
          <w:lang w:val="en-GB"/>
        </w:rPr>
        <w:lastRenderedPageBreak/>
        <w:t>energy efficiency rating of residential buildings, up to a maximum of €15,000 per dwelling.</w:t>
      </w:r>
    </w:p>
    <w:p w14:paraId="73782715" w14:textId="6071ACAB" w:rsidR="00ED5CC3" w:rsidRPr="00136EAF" w:rsidRDefault="00ED5CC3" w:rsidP="35413D53">
      <w:pPr>
        <w:pStyle w:val="Stile1"/>
        <w:ind w:left="0" w:firstLine="0"/>
        <w:rPr>
          <w:lang w:val="en-IE"/>
        </w:rPr>
      </w:pPr>
      <w:r>
        <w:t xml:space="preserve">What are the key eco-social dimensions for just twin transition to be considered does the action align with them? </w:t>
      </w:r>
    </w:p>
    <w:p w14:paraId="278E8DD8" w14:textId="24CD63BD" w:rsidR="00ED5CC3" w:rsidRDefault="00136EAF" w:rsidP="35413D53">
      <w:pPr>
        <w:pStyle w:val="Stile1"/>
        <w:numPr>
          <w:ilvl w:val="0"/>
          <w:numId w:val="0"/>
        </w:numPr>
        <w:rPr>
          <w:b w:val="0"/>
          <w:bCs w:val="0"/>
          <w:color w:val="auto"/>
          <w:sz w:val="24"/>
          <w:szCs w:val="24"/>
        </w:rPr>
      </w:pPr>
      <w:r w:rsidRPr="35413D53">
        <w:rPr>
          <w:b w:val="0"/>
          <w:bCs w:val="0"/>
          <w:color w:val="auto"/>
          <w:sz w:val="24"/>
          <w:szCs w:val="24"/>
        </w:rPr>
        <w:t>To be identified after the analysis of relevant policy mechanisms/support programmes in point 2.</w:t>
      </w:r>
    </w:p>
    <w:p w14:paraId="0732E352" w14:textId="3608F14A" w:rsidR="00532BBF" w:rsidRDefault="00532BBF" w:rsidP="00532BBF">
      <w:pPr>
        <w:pStyle w:val="NormalWeb"/>
        <w:spacing w:before="120" w:beforeAutospacing="0" w:after="120" w:afterAutospacing="0"/>
        <w:jc w:val="both"/>
        <w:rPr>
          <w:rFonts w:ascii="Calibri" w:hAnsi="Calibri" w:cs="Calibri"/>
          <w:lang w:val="en-GB"/>
        </w:rPr>
      </w:pPr>
      <w:r w:rsidRPr="00532BBF">
        <w:rPr>
          <w:rFonts w:ascii="Calibri" w:hAnsi="Calibri" w:cs="Calibri"/>
          <w:lang w:val="en-GB"/>
        </w:rPr>
        <w:t>Taking into account the legislation mentioned in the previous section, we structur</w:t>
      </w:r>
      <w:r>
        <w:rPr>
          <w:rFonts w:ascii="Calibri" w:hAnsi="Calibri" w:cs="Calibri"/>
          <w:lang w:val="en-GB"/>
        </w:rPr>
        <w:t>e the section based on the laws:</w:t>
      </w:r>
    </w:p>
    <w:p w14:paraId="21CA8418" w14:textId="241E49BA" w:rsidR="00532BBF" w:rsidRDefault="00532BBF" w:rsidP="00532BBF">
      <w:pPr>
        <w:pStyle w:val="NormalWeb"/>
        <w:numPr>
          <w:ilvl w:val="0"/>
          <w:numId w:val="11"/>
        </w:numPr>
        <w:spacing w:before="120" w:beforeAutospacing="0" w:after="120" w:afterAutospacing="0"/>
        <w:jc w:val="both"/>
        <w:rPr>
          <w:rFonts w:ascii="Calibri" w:hAnsi="Calibri" w:cs="Calibri"/>
          <w:lang w:val="en-GB"/>
        </w:rPr>
      </w:pPr>
      <w:r>
        <w:rPr>
          <w:rFonts w:ascii="Calibri" w:hAnsi="Calibri" w:cs="Calibri"/>
          <w:lang w:val="en-GB"/>
        </w:rPr>
        <w:t>Ley</w:t>
      </w:r>
      <w:r w:rsidRPr="00532BBF">
        <w:rPr>
          <w:rFonts w:ascii="Calibri" w:hAnsi="Calibri" w:cs="Calibri"/>
          <w:lang w:val="en-GB"/>
        </w:rPr>
        <w:t xml:space="preserve"> 24/2013 on the Electricity Sector. This law takes vulnerable consumers into account in Article 45, establishing aid such as the "social bonus" and social protection mechanisms to prevent electricity supply outages for vulnerable consumers. It thus recognizes access to electricity as a basic right. Furthermore, it promotes energy efficiency and self-sufficiency, incentivizing small-scale energy generation, such as social photovoltaic energy.</w:t>
      </w:r>
    </w:p>
    <w:p w14:paraId="38FF187F" w14:textId="2FC1D902" w:rsidR="00532BBF" w:rsidRPr="00532BBF" w:rsidRDefault="00532BBF" w:rsidP="00532BBF">
      <w:pPr>
        <w:pStyle w:val="NormalWeb"/>
        <w:numPr>
          <w:ilvl w:val="0"/>
          <w:numId w:val="11"/>
        </w:numPr>
        <w:spacing w:before="120" w:beforeAutospacing="0" w:after="120" w:afterAutospacing="0"/>
        <w:jc w:val="both"/>
        <w:rPr>
          <w:rFonts w:ascii="Calibri" w:hAnsi="Calibri" w:cs="Calibri"/>
          <w:lang w:val="en-GB"/>
        </w:rPr>
      </w:pPr>
      <w:r w:rsidRPr="00532BBF">
        <w:rPr>
          <w:rFonts w:ascii="Calibri" w:hAnsi="Calibri" w:cs="Calibri"/>
          <w:lang w:val="en-GB"/>
        </w:rPr>
        <w:t>Real Decreto 900/2015 on Self-Consumption. The eco-social keys of this legislation lie in the promotion of self-generation of electricity, the promotion of access to solar photovoltaic energy</w:t>
      </w:r>
      <w:r w:rsidRPr="00532BBF">
        <w:rPr>
          <w:rFonts w:ascii="Calibri" w:hAnsi="Calibri" w:cs="Calibri"/>
          <w:lang w:val="en"/>
        </w:rPr>
        <w:t xml:space="preserve"> for those who wish to produce electricity (which leads to cost savings on bills), and the development of energy communities to promote access to shared renewable energy. The possibility of collective electricity generation can be a viable and socially inclusive alternative.</w:t>
      </w:r>
    </w:p>
    <w:p w14:paraId="52345D7C" w14:textId="04E450C4" w:rsidR="00532BBF" w:rsidRPr="00592A4C" w:rsidRDefault="00592A4C" w:rsidP="00532BBF">
      <w:pPr>
        <w:pStyle w:val="NormalWeb"/>
        <w:numPr>
          <w:ilvl w:val="0"/>
          <w:numId w:val="11"/>
        </w:numPr>
        <w:spacing w:before="120" w:beforeAutospacing="0" w:after="120" w:afterAutospacing="0"/>
        <w:jc w:val="both"/>
        <w:rPr>
          <w:rFonts w:ascii="Calibri" w:hAnsi="Calibri" w:cs="Calibri"/>
          <w:lang w:val="en-GB"/>
        </w:rPr>
      </w:pPr>
      <w:r>
        <w:rPr>
          <w:rFonts w:ascii="Calibri" w:hAnsi="Calibri" w:cs="Calibri"/>
          <w:lang w:val="en"/>
        </w:rPr>
        <w:t>Real Decreto-ley</w:t>
      </w:r>
      <w:r w:rsidRPr="00592A4C">
        <w:rPr>
          <w:rFonts w:ascii="Calibri" w:hAnsi="Calibri" w:cs="Calibri"/>
          <w:lang w:val="en"/>
        </w:rPr>
        <w:t xml:space="preserve"> 15/2018 on urgent measures for the energy transition. One of the main social measures is the protection of vulnerable consumers, establishing measures to ensure that the most disadvantaged households, those experiencing energy poverty, can access electricity at more affordable prices and avoid power outages. Measures are also established to incentivize energy efficiency in homes and particularly promote photovoltaic energy.</w:t>
      </w:r>
    </w:p>
    <w:p w14:paraId="45FB26CD" w14:textId="15ED7C45" w:rsidR="00592A4C" w:rsidRPr="00532BBF" w:rsidRDefault="00592A4C" w:rsidP="00532BBF">
      <w:pPr>
        <w:pStyle w:val="NormalWeb"/>
        <w:numPr>
          <w:ilvl w:val="0"/>
          <w:numId w:val="11"/>
        </w:numPr>
        <w:spacing w:before="120" w:beforeAutospacing="0" w:after="120" w:afterAutospacing="0"/>
        <w:jc w:val="both"/>
        <w:rPr>
          <w:rFonts w:ascii="Calibri" w:hAnsi="Calibri" w:cs="Calibri"/>
          <w:lang w:val="en-GB"/>
        </w:rPr>
      </w:pPr>
      <w:r w:rsidRPr="00592A4C">
        <w:rPr>
          <w:rFonts w:ascii="Calibri" w:hAnsi="Calibri" w:cs="Calibri"/>
          <w:lang w:val="en"/>
        </w:rPr>
        <w:t>Law 10/2022 on urgent measures for housing protection and improving access to housing. There are many social measures, such as protection against evictions, the promotion of affordable housing, and an increase in the public housing stock. In relation to the energy sector, the fight against energy poverty and incentives for energy-efficient housing renovation stand out.</w:t>
      </w:r>
    </w:p>
    <w:p w14:paraId="0BBBB50F" w14:textId="77777777" w:rsidR="00136EAF" w:rsidRPr="00136EAF" w:rsidRDefault="00ED5CC3" w:rsidP="35413D53">
      <w:pPr>
        <w:pStyle w:val="Stile1"/>
        <w:ind w:left="0" w:firstLine="0"/>
        <w:rPr>
          <w:lang w:val="en-IE"/>
        </w:rPr>
      </w:pPr>
      <w:r>
        <w:t>Identify target groups and possible Disadvantaged Groups (DGs) considering an operational dimension for eco-social justice principles</w:t>
      </w:r>
      <w:r w:rsidR="00136EAF">
        <w:t xml:space="preserve">: </w:t>
      </w:r>
    </w:p>
    <w:p w14:paraId="7CF123C0" w14:textId="0B85FBBD" w:rsidR="00136EAF" w:rsidRPr="008D4155" w:rsidRDefault="00136EAF" w:rsidP="35413D53">
      <w:pPr>
        <w:jc w:val="both"/>
        <w:rPr>
          <w:rFonts w:ascii="Calibri" w:hAnsi="Calibri" w:cs="Calibri"/>
          <w:i/>
          <w:iCs/>
          <w:sz w:val="24"/>
          <w:szCs w:val="24"/>
        </w:rPr>
      </w:pPr>
      <w:r w:rsidRPr="35413D53">
        <w:rPr>
          <w:rFonts w:ascii="Calibri" w:hAnsi="Calibri" w:cs="Calibri"/>
          <w:i/>
          <w:iCs/>
          <w:sz w:val="24"/>
          <w:szCs w:val="24"/>
        </w:rPr>
        <w:t xml:space="preserve">Based on the analysis conducted as part of point 2, please provide examples of possible DGs with the operational dimensions considered. Digital dimension of the </w:t>
      </w:r>
      <w:r w:rsidR="008D4155" w:rsidRPr="35413D53">
        <w:rPr>
          <w:rFonts w:ascii="Calibri" w:hAnsi="Calibri" w:cs="Calibri"/>
          <w:i/>
          <w:iCs/>
          <w:sz w:val="24"/>
          <w:szCs w:val="24"/>
        </w:rPr>
        <w:t xml:space="preserve">social accessibility also to be considered as part of this point. </w:t>
      </w:r>
    </w:p>
    <w:p w14:paraId="1102E260" w14:textId="5FFED708" w:rsidR="00ED5CC3" w:rsidRPr="00167155" w:rsidRDefault="79ADEEFC" w:rsidP="35413D53">
      <w:pPr>
        <w:jc w:val="both"/>
        <w:rPr>
          <w:rFonts w:ascii="Calibri" w:hAnsi="Calibri" w:cs="Calibri"/>
          <w:i/>
          <w:iCs/>
          <w:sz w:val="24"/>
          <w:szCs w:val="24"/>
          <w:lang w:val="en-US"/>
        </w:rPr>
      </w:pPr>
      <w:r w:rsidRPr="35413D53">
        <w:rPr>
          <w:rFonts w:ascii="Calibri" w:hAnsi="Calibri" w:cs="Calibri"/>
          <w:b/>
          <w:bCs/>
          <w:i/>
          <w:iCs/>
          <w:sz w:val="24"/>
          <w:szCs w:val="24"/>
          <w:lang w:val="en-US"/>
        </w:rPr>
        <w:lastRenderedPageBreak/>
        <w:t xml:space="preserve">Operational Dimensions to be considered: </w:t>
      </w:r>
      <w:r w:rsidRPr="35413D53">
        <w:rPr>
          <w:rFonts w:ascii="Calibri" w:hAnsi="Calibri" w:cs="Calibri"/>
          <w:i/>
          <w:iCs/>
          <w:sz w:val="24"/>
          <w:szCs w:val="24"/>
          <w:lang w:val="en-US"/>
        </w:rPr>
        <w:t xml:space="preserve">(1) </w:t>
      </w:r>
      <w:r w:rsidR="00ED5CC3" w:rsidRPr="35413D53">
        <w:rPr>
          <w:rFonts w:ascii="Calibri" w:hAnsi="Calibri" w:cs="Calibri"/>
          <w:i/>
          <w:iCs/>
          <w:sz w:val="24"/>
          <w:szCs w:val="24"/>
          <w:lang w:val="en-US"/>
        </w:rPr>
        <w:t xml:space="preserve">Affordability, </w:t>
      </w:r>
      <w:r w:rsidR="37B62A7A" w:rsidRPr="35413D53">
        <w:rPr>
          <w:rFonts w:ascii="Calibri" w:hAnsi="Calibri" w:cs="Calibri"/>
          <w:i/>
          <w:iCs/>
          <w:sz w:val="24"/>
          <w:szCs w:val="24"/>
          <w:lang w:val="en-US"/>
        </w:rPr>
        <w:t xml:space="preserve">(2) </w:t>
      </w:r>
      <w:r w:rsidR="00ED5CC3" w:rsidRPr="35413D53">
        <w:rPr>
          <w:rFonts w:ascii="Calibri" w:hAnsi="Calibri" w:cs="Calibri"/>
          <w:i/>
          <w:iCs/>
          <w:sz w:val="24"/>
          <w:szCs w:val="24"/>
          <w:lang w:val="en-US"/>
        </w:rPr>
        <w:t xml:space="preserve">Social accessibility, </w:t>
      </w:r>
      <w:r w:rsidR="2C4E8240" w:rsidRPr="35413D53">
        <w:rPr>
          <w:rFonts w:ascii="Calibri" w:hAnsi="Calibri" w:cs="Calibri"/>
          <w:i/>
          <w:iCs/>
          <w:sz w:val="24"/>
          <w:szCs w:val="24"/>
          <w:lang w:val="en-US"/>
        </w:rPr>
        <w:t xml:space="preserve">(3) </w:t>
      </w:r>
      <w:r w:rsidR="00ED5CC3" w:rsidRPr="35413D53">
        <w:rPr>
          <w:rFonts w:ascii="Calibri" w:hAnsi="Calibri" w:cs="Calibri"/>
          <w:i/>
          <w:iCs/>
          <w:sz w:val="24"/>
          <w:szCs w:val="24"/>
          <w:lang w:val="en-US"/>
        </w:rPr>
        <w:t xml:space="preserve">Geographical accessibility, </w:t>
      </w:r>
      <w:r w:rsidR="71241617" w:rsidRPr="35413D53">
        <w:rPr>
          <w:rFonts w:ascii="Calibri" w:hAnsi="Calibri" w:cs="Calibri"/>
          <w:i/>
          <w:iCs/>
          <w:sz w:val="24"/>
          <w:szCs w:val="24"/>
          <w:lang w:val="en-US"/>
        </w:rPr>
        <w:t xml:space="preserve">(4) </w:t>
      </w:r>
      <w:r w:rsidR="00ED5CC3" w:rsidRPr="35413D53">
        <w:rPr>
          <w:rFonts w:ascii="Calibri" w:hAnsi="Calibri" w:cs="Calibri"/>
          <w:i/>
          <w:iCs/>
          <w:sz w:val="24"/>
          <w:szCs w:val="24"/>
          <w:lang w:val="en-US"/>
        </w:rPr>
        <w:t>Reliability and EHS (see risk matrix proposed in methodology workshop slides</w:t>
      </w:r>
      <w:r w:rsidR="1A990BF2" w:rsidRPr="35413D53">
        <w:rPr>
          <w:rFonts w:ascii="Calibri" w:hAnsi="Calibri" w:cs="Calibri"/>
          <w:i/>
          <w:iCs/>
          <w:sz w:val="24"/>
          <w:szCs w:val="24"/>
          <w:lang w:val="en-US"/>
        </w:rPr>
        <w:t xml:space="preserve">: </w:t>
      </w:r>
      <w:hyperlink r:id="rId14">
        <w:r w:rsidR="1A990BF2" w:rsidRPr="35413D53">
          <w:rPr>
            <w:rStyle w:val="Hipervnculo"/>
            <w:rFonts w:ascii="Calibri" w:hAnsi="Calibri" w:cs="Calibri"/>
            <w:i/>
            <w:iCs/>
            <w:sz w:val="24"/>
            <w:szCs w:val="24"/>
            <w:lang w:val="en-US"/>
          </w:rPr>
          <w:t>Methodolgoy Step By Step</w:t>
        </w:r>
      </w:hyperlink>
      <w:r w:rsidR="00ED5CC3" w:rsidRPr="35413D53">
        <w:rPr>
          <w:rFonts w:ascii="Calibri" w:hAnsi="Calibri" w:cs="Calibri"/>
          <w:i/>
          <w:iCs/>
          <w:sz w:val="24"/>
          <w:szCs w:val="24"/>
          <w:lang w:val="en-US"/>
        </w:rPr>
        <w:t>)</w:t>
      </w:r>
    </w:p>
    <w:p w14:paraId="2DF95244" w14:textId="77777777" w:rsidR="009B701F" w:rsidRPr="009B701F" w:rsidRDefault="009B701F" w:rsidP="009B701F">
      <w:pPr>
        <w:pStyle w:val="NormalWeb"/>
        <w:spacing w:before="120" w:after="120"/>
        <w:jc w:val="both"/>
        <w:rPr>
          <w:rFonts w:ascii="Calibri" w:hAnsi="Calibri" w:cs="Calibri"/>
          <w:lang w:val="es-ES"/>
        </w:rPr>
      </w:pPr>
      <w:r w:rsidRPr="009B701F">
        <w:rPr>
          <w:rFonts w:ascii="Calibri" w:eastAsiaTheme="majorEastAsia" w:hAnsi="Calibri" w:cs="Calibri"/>
          <w:lang w:val="en"/>
        </w:rPr>
        <w:t>In the context of the promotion of energy self-managed communities in Spain, and taking into account both the principles established in the aforementioned Spanish legislation on energy and sustainability and the previous report (3.1), disadvantaged groups may be:</w:t>
      </w:r>
    </w:p>
    <w:p w14:paraId="56CA4B5F" w14:textId="074F7805" w:rsidR="009B701F" w:rsidRPr="009B701F" w:rsidRDefault="009B701F" w:rsidP="009B701F">
      <w:pPr>
        <w:pStyle w:val="NormalWeb"/>
        <w:numPr>
          <w:ilvl w:val="0"/>
          <w:numId w:val="11"/>
        </w:numPr>
        <w:spacing w:before="120" w:beforeAutospacing="0" w:after="120" w:afterAutospacing="0"/>
        <w:jc w:val="both"/>
        <w:rPr>
          <w:rFonts w:ascii="Calibri" w:hAnsi="Calibri" w:cs="Calibri"/>
          <w:lang w:val="en-GB"/>
        </w:rPr>
      </w:pPr>
      <w:r w:rsidRPr="009B701F">
        <w:rPr>
          <w:rFonts w:ascii="Calibri" w:hAnsi="Calibri" w:cs="Calibri"/>
          <w:b/>
          <w:lang w:val="en-GB"/>
        </w:rPr>
        <w:t>Affordability</w:t>
      </w:r>
      <w:r w:rsidRPr="009B701F">
        <w:rPr>
          <w:rFonts w:ascii="Calibri" w:hAnsi="Calibri" w:cs="Calibri"/>
          <w:lang w:val="en-GB"/>
        </w:rPr>
        <w:t>: Low-income people who cannot afford the initial investment in infrastructure (solar panels, for example). This includes unemployed people, older people with low pensions, or broken or low-income families.</w:t>
      </w:r>
    </w:p>
    <w:p w14:paraId="29BA6995" w14:textId="7CD80BF4" w:rsidR="009B701F" w:rsidRPr="009B701F" w:rsidRDefault="009B701F" w:rsidP="009B701F">
      <w:pPr>
        <w:pStyle w:val="NormalWeb"/>
        <w:numPr>
          <w:ilvl w:val="0"/>
          <w:numId w:val="11"/>
        </w:numPr>
        <w:spacing w:before="120" w:beforeAutospacing="0" w:after="120" w:afterAutospacing="0"/>
        <w:jc w:val="both"/>
        <w:rPr>
          <w:rFonts w:ascii="Calibri" w:hAnsi="Calibri" w:cs="Calibri"/>
          <w:lang w:val="en-GB"/>
        </w:rPr>
      </w:pPr>
      <w:r w:rsidRPr="009B701F">
        <w:rPr>
          <w:rFonts w:ascii="Calibri" w:hAnsi="Calibri" w:cs="Calibri"/>
          <w:b/>
          <w:lang w:val="en-GB"/>
        </w:rPr>
        <w:t>Social accessibility</w:t>
      </w:r>
      <w:r w:rsidRPr="009B701F">
        <w:rPr>
          <w:rFonts w:ascii="Calibri" w:hAnsi="Calibri" w:cs="Calibri"/>
          <w:lang w:val="en-GB"/>
        </w:rPr>
        <w:t>: People with disabilities may struggle to access the information or resources needed to participate in energy communities. Likewise, marginalized people, people living in disadvantaged neighborhoods, or those experiencing social exclusion may be excluded from all energy networks.</w:t>
      </w:r>
    </w:p>
    <w:p w14:paraId="6F714C72" w14:textId="6FB138AC" w:rsidR="009B701F" w:rsidRPr="009B701F" w:rsidRDefault="009B701F" w:rsidP="009B701F">
      <w:pPr>
        <w:pStyle w:val="NormalWeb"/>
        <w:numPr>
          <w:ilvl w:val="0"/>
          <w:numId w:val="11"/>
        </w:numPr>
        <w:spacing w:before="120" w:beforeAutospacing="0" w:after="120" w:afterAutospacing="0"/>
        <w:jc w:val="both"/>
        <w:rPr>
          <w:rFonts w:ascii="Calibri" w:hAnsi="Calibri" w:cs="Calibri"/>
          <w:lang w:val="en-GB"/>
        </w:rPr>
      </w:pPr>
      <w:r w:rsidRPr="009B701F">
        <w:rPr>
          <w:rFonts w:ascii="Calibri" w:hAnsi="Calibri" w:cs="Calibri"/>
          <w:b/>
          <w:lang w:val="en-GB"/>
        </w:rPr>
        <w:t>Geographic accessibility</w:t>
      </w:r>
      <w:r w:rsidRPr="009B701F">
        <w:rPr>
          <w:rFonts w:ascii="Calibri" w:hAnsi="Calibri" w:cs="Calibri"/>
          <w:lang w:val="en-GB"/>
        </w:rPr>
        <w:t>: Self-managed energy communities are often located in urban areas, so rural or remote areas (small population centers) may be disadvantaged groups, having difficulty accessing certain energy projects.</w:t>
      </w:r>
    </w:p>
    <w:p w14:paraId="77BE4A17" w14:textId="4529CD2E" w:rsidR="00A244F8" w:rsidRDefault="009B701F" w:rsidP="009B701F">
      <w:pPr>
        <w:pStyle w:val="NormalWeb"/>
        <w:numPr>
          <w:ilvl w:val="0"/>
          <w:numId w:val="11"/>
        </w:numPr>
        <w:spacing w:before="120" w:beforeAutospacing="0" w:after="120" w:afterAutospacing="0"/>
        <w:jc w:val="both"/>
        <w:rPr>
          <w:rFonts w:ascii="Calibri" w:hAnsi="Calibri" w:cs="Calibri"/>
          <w:lang w:val="en-GB"/>
        </w:rPr>
      </w:pPr>
      <w:r w:rsidRPr="009B701F">
        <w:rPr>
          <w:rFonts w:ascii="Calibri" w:hAnsi="Calibri" w:cs="Calibri"/>
          <w:b/>
          <w:lang w:val="en-GB"/>
        </w:rPr>
        <w:t>Reliability</w:t>
      </w:r>
      <w:r w:rsidRPr="009B701F">
        <w:rPr>
          <w:rFonts w:ascii="Calibri" w:hAnsi="Calibri" w:cs="Calibri"/>
          <w:lang w:val="en-GB"/>
        </w:rPr>
        <w:t>: Users with critical energy needs, such as those dependent on vital medical equipment (e.g., ventilators, dialysis treatments), may be more exposed to power outages and become disadvantaged groups.</w:t>
      </w:r>
    </w:p>
    <w:p w14:paraId="279E943B" w14:textId="77777777" w:rsidR="009B701F" w:rsidRPr="009B701F" w:rsidRDefault="009B701F" w:rsidP="009B701F">
      <w:pPr>
        <w:pStyle w:val="NormalWeb"/>
        <w:spacing w:before="120" w:beforeAutospacing="0" w:after="120" w:afterAutospacing="0"/>
        <w:jc w:val="both"/>
        <w:rPr>
          <w:rFonts w:ascii="Calibri" w:hAnsi="Calibri" w:cs="Calibri"/>
          <w:lang w:val="en-GB"/>
        </w:rPr>
      </w:pPr>
    </w:p>
    <w:p w14:paraId="5A2D5634" w14:textId="15053837" w:rsidR="00A244F8" w:rsidRPr="00890E0F" w:rsidRDefault="00890E0F" w:rsidP="00890E0F">
      <w:pPr>
        <w:pStyle w:val="Stile1"/>
        <w:ind w:left="0" w:firstLine="0"/>
      </w:pPr>
      <w:r>
        <w:t>References</w:t>
      </w:r>
    </w:p>
    <w:p w14:paraId="5F52B757" w14:textId="77777777" w:rsidR="009B701F" w:rsidRPr="0013734F" w:rsidRDefault="009B701F" w:rsidP="00A244F8">
      <w:pPr>
        <w:jc w:val="both"/>
        <w:rPr>
          <w:rFonts w:ascii="Calibri" w:hAnsi="Calibri" w:cs="Calibri"/>
          <w:iCs/>
          <w:sz w:val="24"/>
          <w:szCs w:val="24"/>
          <w:lang w:val="en-US"/>
        </w:rPr>
      </w:pPr>
      <w:r w:rsidRPr="0013734F">
        <w:rPr>
          <w:rFonts w:ascii="Calibri" w:hAnsi="Calibri" w:cs="Calibri"/>
          <w:iCs/>
          <w:sz w:val="24"/>
          <w:szCs w:val="24"/>
          <w:lang w:val="en-US"/>
        </w:rPr>
        <w:t xml:space="preserve">Asociación Empresarial Eólica (2018). </w:t>
      </w:r>
      <w:r w:rsidRPr="0013734F">
        <w:rPr>
          <w:rFonts w:ascii="Calibri" w:hAnsi="Calibri" w:cs="Calibri"/>
          <w:bCs/>
          <w:iCs/>
          <w:sz w:val="24"/>
          <w:szCs w:val="24"/>
          <w:lang w:val="es-ES"/>
        </w:rPr>
        <w:t xml:space="preserve">Real Decreto 900/2015, de 9 de octubre, por el que se regulan las condiciones administrativas, técnicas y económicas de las modalidades de suministro de energía eléctrica con autoconsumo y de producción con autoconsumo. </w:t>
      </w:r>
      <w:r w:rsidRPr="0013734F">
        <w:rPr>
          <w:rFonts w:ascii="Calibri" w:hAnsi="Calibri" w:cs="Calibri"/>
          <w:iCs/>
          <w:sz w:val="24"/>
          <w:szCs w:val="24"/>
          <w:lang w:val="en-US"/>
        </w:rPr>
        <w:t xml:space="preserve"> </w:t>
      </w:r>
      <w:hyperlink r:id="rId15" w:history="1">
        <w:r w:rsidRPr="0013734F">
          <w:rPr>
            <w:rStyle w:val="Hipervnculo"/>
            <w:rFonts w:ascii="Calibri" w:hAnsi="Calibri" w:cs="Calibri"/>
            <w:iCs/>
            <w:sz w:val="24"/>
            <w:szCs w:val="24"/>
            <w:lang w:val="en-US"/>
          </w:rPr>
          <w:t>https://aeeolica.org/real-decreto-900-2015-de-9-de-octubre-por-el-que-se-regulan-las-condiciones-administrativas-tecnicas-y-economicas-de-las-modalidades-de-suministro-de-energia-electrica-con-autoconsumo-y-de-produccion/</w:t>
        </w:r>
      </w:hyperlink>
    </w:p>
    <w:p w14:paraId="03506305" w14:textId="77777777" w:rsidR="009B701F" w:rsidRDefault="009B701F" w:rsidP="0013734F">
      <w:pPr>
        <w:jc w:val="both"/>
        <w:rPr>
          <w:rFonts w:ascii="Calibri" w:hAnsi="Calibri" w:cs="Calibri"/>
          <w:bCs/>
          <w:iCs/>
          <w:sz w:val="24"/>
          <w:szCs w:val="24"/>
          <w:lang w:val="es-ES"/>
        </w:rPr>
      </w:pPr>
      <w:r>
        <w:rPr>
          <w:rFonts w:ascii="Calibri" w:hAnsi="Calibri" w:cs="Calibri"/>
          <w:bCs/>
          <w:iCs/>
          <w:sz w:val="24"/>
          <w:szCs w:val="24"/>
          <w:lang w:val="es-ES"/>
        </w:rPr>
        <w:t xml:space="preserve">Fundación de la energía (2023). </w:t>
      </w:r>
      <w:r w:rsidRPr="0013734F">
        <w:rPr>
          <w:rFonts w:ascii="Calibri" w:hAnsi="Calibri" w:cs="Calibri"/>
          <w:bCs/>
          <w:iCs/>
          <w:sz w:val="24"/>
          <w:szCs w:val="24"/>
          <w:lang w:val="es-ES"/>
        </w:rPr>
        <w:t>Programas de ayudas para Renovables en Autoconsumo, Almacenamiento y Sistemas Térmicos</w:t>
      </w:r>
      <w:r>
        <w:rPr>
          <w:rFonts w:ascii="Calibri" w:hAnsi="Calibri" w:cs="Calibri"/>
          <w:bCs/>
          <w:iCs/>
          <w:sz w:val="24"/>
          <w:szCs w:val="24"/>
          <w:lang w:val="es-ES"/>
        </w:rPr>
        <w:t xml:space="preserve">. </w:t>
      </w:r>
      <w:hyperlink r:id="rId16" w:history="1">
        <w:r w:rsidRPr="00171658">
          <w:rPr>
            <w:rStyle w:val="Hipervnculo"/>
            <w:rFonts w:ascii="Calibri" w:hAnsi="Calibri" w:cs="Calibri"/>
            <w:bCs/>
            <w:iCs/>
            <w:sz w:val="24"/>
            <w:szCs w:val="24"/>
            <w:lang w:val="es-ES"/>
          </w:rPr>
          <w:t>https://www.fenercom.com/actuacion/praast-programas-de-ayudas-para-energias-renovables-en-autoconsumo-almacenamiento-y-sistemas-termicos/</w:t>
        </w:r>
      </w:hyperlink>
    </w:p>
    <w:p w14:paraId="3DF36533" w14:textId="77777777" w:rsidR="009B701F" w:rsidRPr="0013734F" w:rsidRDefault="009B701F" w:rsidP="00A244F8">
      <w:pPr>
        <w:jc w:val="both"/>
        <w:rPr>
          <w:rFonts w:ascii="Calibri" w:hAnsi="Calibri" w:cs="Calibri"/>
          <w:bCs/>
          <w:iCs/>
          <w:sz w:val="24"/>
          <w:szCs w:val="24"/>
          <w:lang w:val="es-ES"/>
        </w:rPr>
      </w:pPr>
      <w:r w:rsidRPr="0013734F">
        <w:rPr>
          <w:rFonts w:ascii="Calibri" w:hAnsi="Calibri" w:cs="Calibri"/>
          <w:iCs/>
          <w:sz w:val="24"/>
          <w:szCs w:val="24"/>
          <w:lang w:val="en-US"/>
        </w:rPr>
        <w:t xml:space="preserve">Gobierno de España (2024). </w:t>
      </w:r>
      <w:r w:rsidRPr="0013734F">
        <w:rPr>
          <w:rFonts w:ascii="Calibri" w:hAnsi="Calibri" w:cs="Calibri"/>
          <w:bCs/>
          <w:iCs/>
          <w:sz w:val="24"/>
          <w:szCs w:val="24"/>
          <w:lang w:val="es-ES"/>
        </w:rPr>
        <w:t xml:space="preserve">Conoce las ayudas a proyectos piloto singulares de comunidades energéticas 2024. </w:t>
      </w:r>
      <w:hyperlink r:id="rId17" w:history="1">
        <w:r w:rsidRPr="0013734F">
          <w:rPr>
            <w:rStyle w:val="Hipervnculo"/>
            <w:rFonts w:ascii="Calibri" w:hAnsi="Calibri" w:cs="Calibri"/>
            <w:bCs/>
            <w:iCs/>
            <w:sz w:val="24"/>
            <w:szCs w:val="24"/>
            <w:lang w:val="es-ES"/>
          </w:rPr>
          <w:t>https://planderecuperacion.gob.es/noticias/conoce-ayudas-proyectos-piloto-singulares-comunidades-energeticas-2024-prtr</w:t>
        </w:r>
      </w:hyperlink>
    </w:p>
    <w:p w14:paraId="3D7E19B7" w14:textId="77777777" w:rsidR="009B701F" w:rsidRDefault="009B701F" w:rsidP="00C6622A">
      <w:pPr>
        <w:jc w:val="both"/>
        <w:rPr>
          <w:rFonts w:ascii="Calibri" w:hAnsi="Calibri" w:cs="Calibri"/>
          <w:bCs/>
          <w:iCs/>
          <w:sz w:val="24"/>
          <w:szCs w:val="24"/>
          <w:lang w:val="es-ES"/>
        </w:rPr>
      </w:pPr>
      <w:r>
        <w:rPr>
          <w:rFonts w:ascii="Calibri" w:hAnsi="Calibri" w:cs="Calibri"/>
          <w:bCs/>
          <w:iCs/>
          <w:sz w:val="24"/>
          <w:szCs w:val="24"/>
          <w:lang w:val="es-ES"/>
        </w:rPr>
        <w:t xml:space="preserve">IDAE (n.d.). </w:t>
      </w:r>
      <w:r w:rsidRPr="00C6622A">
        <w:rPr>
          <w:rFonts w:ascii="Calibri" w:hAnsi="Calibri" w:cs="Calibri"/>
          <w:bCs/>
          <w:iCs/>
          <w:sz w:val="24"/>
          <w:szCs w:val="24"/>
          <w:lang w:val="es-ES"/>
        </w:rPr>
        <w:t xml:space="preserve">Beneficios fiscales en el IRPF para la implantación </w:t>
      </w:r>
      <w:r>
        <w:rPr>
          <w:rFonts w:ascii="Calibri" w:hAnsi="Calibri" w:cs="Calibri"/>
          <w:bCs/>
          <w:iCs/>
          <w:sz w:val="24"/>
          <w:szCs w:val="24"/>
          <w:lang w:val="es-ES"/>
        </w:rPr>
        <w:t xml:space="preserve">de energías renovables térmicas. </w:t>
      </w:r>
      <w:hyperlink r:id="rId18" w:history="1">
        <w:r w:rsidRPr="00171658">
          <w:rPr>
            <w:rStyle w:val="Hipervnculo"/>
            <w:rFonts w:ascii="Calibri" w:hAnsi="Calibri" w:cs="Calibri"/>
            <w:bCs/>
            <w:iCs/>
            <w:sz w:val="24"/>
            <w:szCs w:val="24"/>
            <w:lang w:val="es-ES"/>
          </w:rPr>
          <w:t>https://www.idae.es/noticias/beneficios-fiscales-en-el-irpf-para-la-implantacion-de-energias-renovables-termicas</w:t>
        </w:r>
      </w:hyperlink>
    </w:p>
    <w:p w14:paraId="29AD5733" w14:textId="77777777" w:rsidR="009B701F" w:rsidRDefault="009B701F" w:rsidP="0013734F">
      <w:pPr>
        <w:jc w:val="both"/>
        <w:rPr>
          <w:rFonts w:ascii="Calibri" w:hAnsi="Calibri" w:cs="Calibri"/>
          <w:bCs/>
          <w:iCs/>
          <w:sz w:val="24"/>
          <w:szCs w:val="24"/>
          <w:lang w:val="es-ES"/>
        </w:rPr>
      </w:pPr>
      <w:r>
        <w:rPr>
          <w:rFonts w:ascii="Calibri" w:hAnsi="Calibri" w:cs="Calibri"/>
          <w:bCs/>
          <w:iCs/>
          <w:sz w:val="24"/>
          <w:szCs w:val="24"/>
          <w:lang w:val="es-ES"/>
        </w:rPr>
        <w:lastRenderedPageBreak/>
        <w:t xml:space="preserve">Ley </w:t>
      </w:r>
      <w:r w:rsidRPr="00532BBF">
        <w:rPr>
          <w:rFonts w:ascii="Calibri" w:hAnsi="Calibri" w:cs="Calibri"/>
          <w:bCs/>
          <w:iCs/>
          <w:sz w:val="24"/>
          <w:szCs w:val="24"/>
          <w:lang w:val="es-ES"/>
        </w:rPr>
        <w:t>10/2022</w:t>
      </w:r>
      <w:r>
        <w:rPr>
          <w:rFonts w:ascii="Calibri" w:hAnsi="Calibri" w:cs="Calibri"/>
          <w:bCs/>
          <w:iCs/>
          <w:sz w:val="24"/>
          <w:szCs w:val="24"/>
          <w:lang w:val="es-ES"/>
        </w:rPr>
        <w:t xml:space="preserve"> de 2022. D</w:t>
      </w:r>
      <w:r w:rsidRPr="00532BBF">
        <w:rPr>
          <w:rFonts w:ascii="Calibri" w:hAnsi="Calibri" w:cs="Calibri"/>
          <w:bCs/>
          <w:iCs/>
          <w:sz w:val="24"/>
          <w:szCs w:val="24"/>
          <w:lang w:val="es-ES"/>
        </w:rPr>
        <w:t>e medidas urgentes para impulsar la actividad de rehabilitación edificatoria en el contexto del Plan de Recuperación, Transformación y Resiliencia.</w:t>
      </w:r>
      <w:r>
        <w:rPr>
          <w:rFonts w:ascii="Calibri" w:hAnsi="Calibri" w:cs="Calibri"/>
          <w:bCs/>
          <w:iCs/>
          <w:sz w:val="24"/>
          <w:szCs w:val="24"/>
          <w:lang w:val="es-ES"/>
        </w:rPr>
        <w:t xml:space="preserve"> </w:t>
      </w:r>
      <w:r w:rsidRPr="00532BBF">
        <w:rPr>
          <w:rFonts w:ascii="Calibri" w:hAnsi="Calibri" w:cs="Calibri"/>
          <w:bCs/>
          <w:iCs/>
          <w:sz w:val="24"/>
          <w:szCs w:val="24"/>
          <w:lang w:val="es-ES"/>
        </w:rPr>
        <w:t>, 14 de junio</w:t>
      </w:r>
      <w:r>
        <w:rPr>
          <w:rFonts w:ascii="Calibri" w:hAnsi="Calibri" w:cs="Calibri"/>
          <w:bCs/>
          <w:iCs/>
          <w:sz w:val="24"/>
          <w:szCs w:val="24"/>
          <w:lang w:val="es-ES"/>
        </w:rPr>
        <w:t xml:space="preserve"> de 2022. BOE No 142. </w:t>
      </w:r>
      <w:hyperlink r:id="rId19" w:tooltip="Permalink ELI" w:history="1">
        <w:r w:rsidRPr="00532BBF">
          <w:rPr>
            <w:rStyle w:val="Hipervnculo"/>
            <w:rFonts w:ascii="Calibri" w:hAnsi="Calibri" w:cs="Calibri"/>
            <w:bCs/>
            <w:iCs/>
            <w:sz w:val="24"/>
            <w:szCs w:val="24"/>
          </w:rPr>
          <w:t>https://www.boe.es/eli/es/l/2022/06/14/10</w:t>
        </w:r>
      </w:hyperlink>
    </w:p>
    <w:p w14:paraId="79F71192" w14:textId="77777777" w:rsidR="009B701F" w:rsidRPr="0013734F" w:rsidRDefault="009B701F" w:rsidP="00890E0F">
      <w:pPr>
        <w:jc w:val="both"/>
        <w:rPr>
          <w:rFonts w:ascii="Calibri" w:hAnsi="Calibri" w:cs="Calibri"/>
          <w:bCs/>
          <w:iCs/>
          <w:sz w:val="24"/>
          <w:szCs w:val="24"/>
          <w:lang w:val="es-ES"/>
        </w:rPr>
      </w:pPr>
      <w:r w:rsidRPr="0013734F">
        <w:rPr>
          <w:rFonts w:ascii="Calibri" w:hAnsi="Calibri" w:cs="Calibri"/>
          <w:bCs/>
          <w:iCs/>
          <w:sz w:val="24"/>
          <w:szCs w:val="24"/>
        </w:rPr>
        <w:t xml:space="preserve">Ley </w:t>
      </w:r>
      <w:r w:rsidRPr="0013734F">
        <w:rPr>
          <w:rFonts w:ascii="Calibri" w:hAnsi="Calibri" w:cs="Calibri"/>
          <w:bCs/>
          <w:iCs/>
          <w:sz w:val="24"/>
          <w:szCs w:val="24"/>
          <w:lang w:val="es-ES"/>
        </w:rPr>
        <w:t>24/2013</w:t>
      </w:r>
      <w:r w:rsidRPr="0013734F">
        <w:rPr>
          <w:rFonts w:ascii="Calibri" w:hAnsi="Calibri" w:cs="Calibri"/>
          <w:bCs/>
          <w:iCs/>
          <w:sz w:val="24"/>
          <w:szCs w:val="24"/>
        </w:rPr>
        <w:t xml:space="preserve"> de 2013. </w:t>
      </w:r>
      <w:r w:rsidRPr="0013734F">
        <w:rPr>
          <w:rFonts w:ascii="Calibri" w:hAnsi="Calibri" w:cs="Calibri"/>
          <w:bCs/>
          <w:iCs/>
          <w:sz w:val="24"/>
          <w:szCs w:val="24"/>
          <w:lang w:val="es-ES"/>
        </w:rPr>
        <w:t>Ley del Sector Eléctrico</w:t>
      </w:r>
      <w:r w:rsidRPr="0013734F">
        <w:rPr>
          <w:rFonts w:ascii="Calibri" w:hAnsi="Calibri" w:cs="Calibri"/>
          <w:bCs/>
          <w:iCs/>
          <w:sz w:val="24"/>
          <w:szCs w:val="24"/>
        </w:rPr>
        <w:t xml:space="preserve">. 26 de </w:t>
      </w:r>
      <w:r w:rsidRPr="0013734F">
        <w:rPr>
          <w:rFonts w:ascii="Calibri" w:hAnsi="Calibri" w:cs="Calibri"/>
          <w:bCs/>
          <w:iCs/>
          <w:sz w:val="24"/>
          <w:szCs w:val="24"/>
          <w:lang w:val="es-ES"/>
        </w:rPr>
        <w:t>diciembre</w:t>
      </w:r>
      <w:r w:rsidRPr="0013734F">
        <w:rPr>
          <w:rFonts w:ascii="Calibri" w:hAnsi="Calibri" w:cs="Calibri"/>
          <w:bCs/>
          <w:iCs/>
          <w:sz w:val="24"/>
          <w:szCs w:val="24"/>
        </w:rPr>
        <w:t xml:space="preserve"> de 20</w:t>
      </w:r>
      <w:r w:rsidRPr="0013734F">
        <w:rPr>
          <w:rFonts w:ascii="Calibri" w:hAnsi="Calibri" w:cs="Calibri"/>
          <w:bCs/>
          <w:iCs/>
          <w:sz w:val="24"/>
          <w:szCs w:val="24"/>
          <w:lang w:val="es-ES"/>
        </w:rPr>
        <w:t>13</w:t>
      </w:r>
      <w:r w:rsidRPr="0013734F">
        <w:rPr>
          <w:rFonts w:ascii="Calibri" w:hAnsi="Calibri" w:cs="Calibri"/>
          <w:bCs/>
          <w:iCs/>
          <w:sz w:val="24"/>
          <w:szCs w:val="24"/>
        </w:rPr>
        <w:t xml:space="preserve">. </w:t>
      </w:r>
      <w:r w:rsidRPr="0013734F">
        <w:rPr>
          <w:rFonts w:ascii="Calibri" w:hAnsi="Calibri" w:cs="Calibri"/>
          <w:bCs/>
          <w:iCs/>
          <w:sz w:val="24"/>
          <w:szCs w:val="24"/>
          <w:lang w:val="es-ES"/>
        </w:rPr>
        <w:t>BOE</w:t>
      </w:r>
      <w:r w:rsidRPr="0013734F">
        <w:rPr>
          <w:rFonts w:ascii="Calibri" w:hAnsi="Calibri" w:cs="Calibri"/>
          <w:bCs/>
          <w:iCs/>
          <w:sz w:val="24"/>
          <w:szCs w:val="24"/>
        </w:rPr>
        <w:t xml:space="preserve"> No. </w:t>
      </w:r>
      <w:r w:rsidRPr="0013734F">
        <w:rPr>
          <w:rFonts w:ascii="Calibri" w:hAnsi="Calibri" w:cs="Calibri"/>
          <w:bCs/>
          <w:iCs/>
          <w:sz w:val="24"/>
          <w:szCs w:val="24"/>
          <w:lang w:val="es-ES"/>
        </w:rPr>
        <w:t>310</w:t>
      </w:r>
      <w:r w:rsidRPr="0013734F">
        <w:rPr>
          <w:rFonts w:ascii="Calibri" w:hAnsi="Calibri" w:cs="Calibri"/>
          <w:bCs/>
          <w:iCs/>
          <w:sz w:val="24"/>
          <w:szCs w:val="24"/>
        </w:rPr>
        <w:t>.</w:t>
      </w:r>
      <w:r w:rsidRPr="0013734F">
        <w:rPr>
          <w:rFonts w:ascii="Calibri" w:hAnsi="Calibri" w:cs="Calibri"/>
          <w:bCs/>
          <w:iCs/>
          <w:sz w:val="24"/>
          <w:szCs w:val="24"/>
          <w:lang w:val="es-ES"/>
        </w:rPr>
        <w:t xml:space="preserve"> </w:t>
      </w:r>
      <w:hyperlink r:id="rId20" w:history="1">
        <w:r w:rsidRPr="0013734F">
          <w:rPr>
            <w:rStyle w:val="Hipervnculo"/>
            <w:rFonts w:ascii="Calibri" w:hAnsi="Calibri" w:cs="Calibri"/>
            <w:bCs/>
            <w:iCs/>
            <w:sz w:val="24"/>
            <w:szCs w:val="24"/>
            <w:lang w:val="es-ES"/>
          </w:rPr>
          <w:t>https://www.boe.es/eli/es/l/2013/12/26/24/con</w:t>
        </w:r>
      </w:hyperlink>
      <w:r w:rsidRPr="0013734F">
        <w:rPr>
          <w:rFonts w:ascii="Calibri" w:hAnsi="Calibri" w:cs="Calibri"/>
          <w:bCs/>
          <w:iCs/>
          <w:sz w:val="24"/>
          <w:szCs w:val="24"/>
          <w:lang w:val="es-ES"/>
        </w:rPr>
        <w:t xml:space="preserve"> </w:t>
      </w:r>
    </w:p>
    <w:p w14:paraId="166A0A46" w14:textId="77777777" w:rsidR="009B701F" w:rsidRPr="0013734F" w:rsidRDefault="009B701F" w:rsidP="00890E0F">
      <w:pPr>
        <w:jc w:val="both"/>
        <w:rPr>
          <w:rFonts w:ascii="Calibri" w:hAnsi="Calibri" w:cs="Calibri"/>
          <w:bCs/>
          <w:iCs/>
          <w:sz w:val="24"/>
          <w:szCs w:val="24"/>
          <w:lang w:val="en-GB"/>
        </w:rPr>
      </w:pPr>
      <w:r w:rsidRPr="0013734F">
        <w:rPr>
          <w:rFonts w:ascii="Calibri" w:hAnsi="Calibri" w:cs="Calibri"/>
          <w:bCs/>
          <w:iCs/>
          <w:sz w:val="24"/>
          <w:szCs w:val="24"/>
          <w:lang w:val="es-ES"/>
        </w:rPr>
        <w:t xml:space="preserve">Ministerio para la Transición Ecológica y el Reto Demográfico. </w:t>
      </w:r>
      <w:r w:rsidRPr="0013734F">
        <w:rPr>
          <w:rFonts w:ascii="Calibri" w:hAnsi="Calibri" w:cs="Calibri"/>
          <w:bCs/>
          <w:iCs/>
          <w:sz w:val="24"/>
          <w:szCs w:val="24"/>
          <w:lang w:val="en-GB"/>
        </w:rPr>
        <w:t xml:space="preserve">(2024, September 24). </w:t>
      </w:r>
      <w:r w:rsidRPr="0013734F">
        <w:rPr>
          <w:rFonts w:ascii="Calibri" w:hAnsi="Calibri" w:cs="Calibri"/>
          <w:bCs/>
          <w:i/>
          <w:iCs/>
          <w:sz w:val="24"/>
          <w:szCs w:val="24"/>
          <w:lang w:val="en-GB"/>
        </w:rPr>
        <w:t>Factsheet 1 PNIEC 2023-2030</w:t>
      </w:r>
      <w:r w:rsidRPr="0013734F">
        <w:rPr>
          <w:rFonts w:ascii="Calibri" w:hAnsi="Calibri" w:cs="Calibri"/>
          <w:bCs/>
          <w:iCs/>
          <w:sz w:val="24"/>
          <w:szCs w:val="24"/>
          <w:lang w:val="en-GB"/>
        </w:rPr>
        <w:t xml:space="preserve">. </w:t>
      </w:r>
      <w:hyperlink r:id="rId21">
        <w:r w:rsidRPr="0013734F">
          <w:rPr>
            <w:rStyle w:val="Hipervnculo"/>
            <w:rFonts w:ascii="Calibri" w:hAnsi="Calibri" w:cs="Calibri"/>
            <w:bCs/>
            <w:iCs/>
            <w:sz w:val="24"/>
            <w:szCs w:val="24"/>
            <w:lang w:val="en-GB"/>
          </w:rPr>
          <w:t>https://www.miteco.gob.es/es/prensa/ultimas-noticias/2024/septiembre/el-gobierno-aprueba-la-actualizacion-del-plan-nacional-integrado.html</w:t>
        </w:r>
      </w:hyperlink>
    </w:p>
    <w:p w14:paraId="7D18D932" w14:textId="77777777" w:rsidR="009B701F" w:rsidRPr="0013734F" w:rsidRDefault="009B701F" w:rsidP="00890E0F">
      <w:pPr>
        <w:jc w:val="both"/>
        <w:rPr>
          <w:rFonts w:ascii="Calibri" w:hAnsi="Calibri" w:cs="Calibri"/>
          <w:bCs/>
          <w:iCs/>
          <w:sz w:val="24"/>
          <w:szCs w:val="24"/>
          <w:lang w:val="es-ES"/>
        </w:rPr>
      </w:pPr>
      <w:r w:rsidRPr="0013734F">
        <w:rPr>
          <w:rFonts w:ascii="Calibri" w:hAnsi="Calibri" w:cs="Calibri"/>
          <w:bCs/>
          <w:iCs/>
          <w:sz w:val="24"/>
          <w:szCs w:val="24"/>
          <w:lang w:val="es-ES"/>
        </w:rPr>
        <w:t xml:space="preserve">Ministerio para la Transición Ecológica y el Reto Demográfico: Instituto para la Transición Justa. (2020). </w:t>
      </w:r>
      <w:r w:rsidRPr="0013734F">
        <w:rPr>
          <w:rFonts w:ascii="Calibri" w:hAnsi="Calibri" w:cs="Calibri"/>
          <w:bCs/>
          <w:i/>
          <w:iCs/>
          <w:sz w:val="24"/>
          <w:szCs w:val="24"/>
          <w:lang w:val="es-ES"/>
        </w:rPr>
        <w:t>La Estrategia de Transición Justa</w:t>
      </w:r>
      <w:r w:rsidRPr="0013734F">
        <w:rPr>
          <w:rFonts w:ascii="Calibri" w:hAnsi="Calibri" w:cs="Calibri"/>
          <w:bCs/>
          <w:iCs/>
          <w:sz w:val="24"/>
          <w:szCs w:val="24"/>
          <w:lang w:val="es-ES"/>
        </w:rPr>
        <w:t>. Instituto para la Transición Justa.</w:t>
      </w:r>
    </w:p>
    <w:p w14:paraId="3D515517" w14:textId="77777777" w:rsidR="009B701F" w:rsidRPr="0013734F" w:rsidRDefault="009B701F" w:rsidP="007021A7">
      <w:pPr>
        <w:jc w:val="both"/>
        <w:rPr>
          <w:rFonts w:ascii="Calibri" w:hAnsi="Calibri" w:cs="Calibri"/>
          <w:sz w:val="24"/>
          <w:szCs w:val="24"/>
        </w:rPr>
      </w:pPr>
      <w:r w:rsidRPr="0013734F">
        <w:rPr>
          <w:rFonts w:ascii="Calibri" w:hAnsi="Calibri" w:cs="Calibri"/>
          <w:bCs/>
          <w:iCs/>
          <w:sz w:val="24"/>
          <w:szCs w:val="24"/>
          <w:lang w:val="es-ES"/>
        </w:rPr>
        <w:t xml:space="preserve">Real Decreto 900/2015 de 2015. Por el que se regulan las condiciones administrativas, técnicas y económicas de las modalidades de suministro de energía eléctrica con autoconsumo y de producción con autoconsumo. 9 de octubre de 2015. BOE No. 243. </w:t>
      </w:r>
      <w:hyperlink r:id="rId22" w:history="1">
        <w:r w:rsidRPr="0013734F">
          <w:rPr>
            <w:rStyle w:val="Hipervnculo"/>
            <w:rFonts w:ascii="Calibri" w:hAnsi="Calibri" w:cs="Calibri"/>
            <w:sz w:val="24"/>
            <w:szCs w:val="24"/>
          </w:rPr>
          <w:t>https://www.boe.es/eli/es/rd/2015/10/09/900/con</w:t>
        </w:r>
      </w:hyperlink>
    </w:p>
    <w:p w14:paraId="743A2BFE" w14:textId="77777777" w:rsidR="009B701F" w:rsidRDefault="009B701F" w:rsidP="0013734F">
      <w:pPr>
        <w:jc w:val="both"/>
        <w:rPr>
          <w:rFonts w:ascii="Calibri" w:hAnsi="Calibri" w:cs="Calibri"/>
          <w:bCs/>
          <w:iCs/>
          <w:sz w:val="24"/>
          <w:szCs w:val="24"/>
          <w:lang w:val="es-ES"/>
        </w:rPr>
      </w:pPr>
      <w:r>
        <w:rPr>
          <w:rFonts w:ascii="Calibri" w:hAnsi="Calibri" w:cs="Calibri"/>
          <w:bCs/>
          <w:iCs/>
          <w:sz w:val="24"/>
          <w:szCs w:val="24"/>
          <w:lang w:val="es-ES"/>
        </w:rPr>
        <w:t>Real Decreto-ley 15/2018 de 2018. D</w:t>
      </w:r>
      <w:r w:rsidRPr="0013734F">
        <w:rPr>
          <w:rFonts w:ascii="Calibri" w:hAnsi="Calibri" w:cs="Calibri"/>
          <w:bCs/>
          <w:iCs/>
          <w:sz w:val="24"/>
          <w:szCs w:val="24"/>
          <w:lang w:val="es-ES"/>
        </w:rPr>
        <w:t>e medidas urgentes para la transición energética y la protección de los consumidores.</w:t>
      </w:r>
      <w:r>
        <w:rPr>
          <w:rFonts w:ascii="Calibri" w:hAnsi="Calibri" w:cs="Calibri"/>
          <w:bCs/>
          <w:iCs/>
          <w:sz w:val="24"/>
          <w:szCs w:val="24"/>
          <w:lang w:val="es-ES"/>
        </w:rPr>
        <w:t xml:space="preserve"> </w:t>
      </w:r>
      <w:r w:rsidRPr="0013734F">
        <w:rPr>
          <w:rFonts w:ascii="Calibri" w:hAnsi="Calibri" w:cs="Calibri"/>
          <w:bCs/>
          <w:iCs/>
          <w:sz w:val="24"/>
          <w:szCs w:val="24"/>
          <w:lang w:val="es-ES"/>
        </w:rPr>
        <w:t>5 de octubre</w:t>
      </w:r>
      <w:r>
        <w:rPr>
          <w:rFonts w:ascii="Calibri" w:hAnsi="Calibri" w:cs="Calibri"/>
          <w:bCs/>
          <w:iCs/>
          <w:sz w:val="24"/>
          <w:szCs w:val="24"/>
          <w:lang w:val="es-ES"/>
        </w:rPr>
        <w:t xml:space="preserve"> de 2018. BOE No. 242. </w:t>
      </w:r>
      <w:hyperlink r:id="rId23" w:tooltip="Permalink ELI" w:history="1">
        <w:r w:rsidRPr="0013734F">
          <w:rPr>
            <w:rStyle w:val="Hipervnculo"/>
            <w:rFonts w:ascii="Calibri" w:hAnsi="Calibri" w:cs="Calibri"/>
            <w:bCs/>
            <w:iCs/>
            <w:sz w:val="24"/>
            <w:szCs w:val="24"/>
          </w:rPr>
          <w:t>https://www.boe.es/eli/es/rdl/2018/10/05/15</w:t>
        </w:r>
      </w:hyperlink>
    </w:p>
    <w:p w14:paraId="76B6AAE7" w14:textId="77777777" w:rsidR="009B701F" w:rsidRDefault="009B701F" w:rsidP="000B03E7">
      <w:pPr>
        <w:jc w:val="both"/>
        <w:rPr>
          <w:rFonts w:ascii="Calibri" w:hAnsi="Calibri" w:cs="Calibri"/>
          <w:bCs/>
          <w:iCs/>
          <w:sz w:val="24"/>
          <w:szCs w:val="24"/>
          <w:lang w:val="es-ES"/>
        </w:rPr>
      </w:pPr>
      <w:r>
        <w:rPr>
          <w:rFonts w:ascii="Calibri" w:hAnsi="Calibri" w:cs="Calibri"/>
          <w:bCs/>
          <w:iCs/>
          <w:sz w:val="24"/>
          <w:szCs w:val="24"/>
          <w:lang w:val="es-ES"/>
        </w:rPr>
        <w:t xml:space="preserve">SENDA (2025). </w:t>
      </w:r>
      <w:r w:rsidRPr="000B03E7">
        <w:rPr>
          <w:rFonts w:ascii="Calibri" w:hAnsi="Calibri" w:cs="Calibri"/>
          <w:bCs/>
          <w:iCs/>
          <w:sz w:val="24"/>
          <w:szCs w:val="24"/>
          <w:lang w:val="es-ES"/>
        </w:rPr>
        <w:t>Subvenciones para Comunidades Energéticas en España</w:t>
      </w:r>
      <w:r>
        <w:rPr>
          <w:rFonts w:ascii="Calibri" w:hAnsi="Calibri" w:cs="Calibri"/>
          <w:bCs/>
          <w:iCs/>
          <w:sz w:val="24"/>
          <w:szCs w:val="24"/>
          <w:lang w:val="es-ES"/>
        </w:rPr>
        <w:t xml:space="preserve">. </w:t>
      </w:r>
      <w:hyperlink r:id="rId24" w:history="1">
        <w:r w:rsidRPr="00171658">
          <w:rPr>
            <w:rStyle w:val="Hipervnculo"/>
            <w:rFonts w:ascii="Calibri" w:hAnsi="Calibri" w:cs="Calibri"/>
            <w:bCs/>
            <w:iCs/>
            <w:sz w:val="24"/>
            <w:szCs w:val="24"/>
            <w:lang w:val="es-ES"/>
          </w:rPr>
          <w:t>https://www.senda.green/subvenciones-para-comunidades-energeticas-en-espana/</w:t>
        </w:r>
      </w:hyperlink>
    </w:p>
    <w:p w14:paraId="4CB6BD5F" w14:textId="77777777" w:rsidR="00C6622A" w:rsidRPr="00C6622A" w:rsidRDefault="00C6622A" w:rsidP="00C6622A">
      <w:pPr>
        <w:jc w:val="both"/>
        <w:rPr>
          <w:rFonts w:ascii="Calibri" w:hAnsi="Calibri" w:cs="Calibri"/>
          <w:bCs/>
          <w:iCs/>
          <w:sz w:val="24"/>
          <w:szCs w:val="24"/>
          <w:lang w:val="es-ES"/>
        </w:rPr>
      </w:pPr>
    </w:p>
    <w:p w14:paraId="43550DD3" w14:textId="5AB06021" w:rsidR="00C6622A" w:rsidRDefault="00C6622A" w:rsidP="000B03E7">
      <w:pPr>
        <w:jc w:val="both"/>
        <w:rPr>
          <w:rFonts w:ascii="Calibri" w:hAnsi="Calibri" w:cs="Calibri"/>
          <w:bCs/>
          <w:iCs/>
          <w:sz w:val="24"/>
          <w:szCs w:val="24"/>
          <w:lang w:val="es-ES"/>
        </w:rPr>
      </w:pPr>
    </w:p>
    <w:p w14:paraId="00F0362D" w14:textId="77777777" w:rsidR="000B03E7" w:rsidRPr="000B03E7" w:rsidRDefault="000B03E7" w:rsidP="000B03E7">
      <w:pPr>
        <w:jc w:val="both"/>
        <w:rPr>
          <w:rFonts w:ascii="Calibri" w:hAnsi="Calibri" w:cs="Calibri"/>
          <w:bCs/>
          <w:iCs/>
          <w:sz w:val="24"/>
          <w:szCs w:val="24"/>
          <w:lang w:val="es-ES"/>
        </w:rPr>
      </w:pPr>
    </w:p>
    <w:p w14:paraId="12B24209" w14:textId="77777777" w:rsidR="000B03E7" w:rsidRDefault="000B03E7" w:rsidP="0013734F">
      <w:pPr>
        <w:jc w:val="both"/>
        <w:rPr>
          <w:rFonts w:ascii="Calibri" w:hAnsi="Calibri" w:cs="Calibri"/>
          <w:bCs/>
          <w:iCs/>
          <w:sz w:val="24"/>
          <w:szCs w:val="24"/>
          <w:lang w:val="es-ES"/>
        </w:rPr>
      </w:pPr>
    </w:p>
    <w:p w14:paraId="78DC4113" w14:textId="77777777" w:rsidR="0013734F" w:rsidRDefault="0013734F" w:rsidP="0013734F">
      <w:pPr>
        <w:jc w:val="both"/>
        <w:rPr>
          <w:rFonts w:ascii="Calibri" w:hAnsi="Calibri" w:cs="Calibri"/>
          <w:bCs/>
          <w:iCs/>
          <w:sz w:val="24"/>
          <w:szCs w:val="24"/>
          <w:lang w:val="es-ES"/>
        </w:rPr>
      </w:pPr>
    </w:p>
    <w:p w14:paraId="1577AB60" w14:textId="5DA727C1" w:rsidR="0013734F" w:rsidRPr="0013734F" w:rsidRDefault="0013734F" w:rsidP="0013734F">
      <w:pPr>
        <w:jc w:val="both"/>
        <w:rPr>
          <w:rFonts w:ascii="Calibri" w:hAnsi="Calibri" w:cs="Calibri"/>
          <w:bCs/>
          <w:iCs/>
          <w:sz w:val="24"/>
          <w:szCs w:val="24"/>
          <w:lang w:val="es-ES"/>
        </w:rPr>
      </w:pPr>
      <w:r w:rsidRPr="0013734F">
        <w:rPr>
          <w:rFonts w:ascii="Calibri" w:hAnsi="Calibri" w:cs="Calibri"/>
          <w:bCs/>
          <w:iCs/>
          <w:sz w:val="24"/>
          <w:szCs w:val="24"/>
          <w:lang w:val="es-ES"/>
        </w:rPr>
        <w:t xml:space="preserve"> </w:t>
      </w:r>
    </w:p>
    <w:p w14:paraId="47848177" w14:textId="56834490" w:rsidR="007021A7" w:rsidRPr="007021A7" w:rsidRDefault="007021A7" w:rsidP="007021A7">
      <w:pPr>
        <w:jc w:val="both"/>
        <w:rPr>
          <w:rFonts w:ascii="Calibri" w:hAnsi="Calibri" w:cs="Calibri"/>
          <w:bCs/>
          <w:iCs/>
          <w:sz w:val="24"/>
          <w:szCs w:val="24"/>
          <w:lang w:val="es-ES"/>
        </w:rPr>
      </w:pPr>
    </w:p>
    <w:p w14:paraId="2B509DB5" w14:textId="77777777" w:rsidR="007021A7" w:rsidRPr="00890E0F" w:rsidRDefault="007021A7" w:rsidP="00890E0F">
      <w:pPr>
        <w:jc w:val="both"/>
        <w:rPr>
          <w:rFonts w:ascii="Calibri" w:hAnsi="Calibri" w:cs="Calibri"/>
          <w:bCs/>
          <w:iCs/>
          <w:sz w:val="24"/>
          <w:szCs w:val="24"/>
          <w:lang w:val="es-ES"/>
        </w:rPr>
      </w:pPr>
    </w:p>
    <w:p w14:paraId="78ED908E" w14:textId="61F256B1" w:rsidR="00890E0F" w:rsidRPr="00890E0F" w:rsidRDefault="00890E0F" w:rsidP="00890E0F">
      <w:pPr>
        <w:jc w:val="both"/>
        <w:rPr>
          <w:rFonts w:ascii="Calibri" w:hAnsi="Calibri" w:cs="Calibri"/>
          <w:bCs/>
          <w:iCs/>
          <w:sz w:val="24"/>
          <w:szCs w:val="24"/>
          <w:lang w:val="es-ES"/>
        </w:rPr>
      </w:pPr>
    </w:p>
    <w:p w14:paraId="36119082" w14:textId="77777777" w:rsidR="00A244F8" w:rsidRPr="00A244F8" w:rsidRDefault="00A244F8" w:rsidP="00A244F8">
      <w:pPr>
        <w:jc w:val="both"/>
        <w:rPr>
          <w:rFonts w:ascii="Calibri" w:hAnsi="Calibri" w:cs="Calibri"/>
          <w:b/>
          <w:bCs/>
          <w:iCs/>
          <w:sz w:val="24"/>
          <w:szCs w:val="24"/>
          <w:lang w:val="es-ES"/>
        </w:rPr>
      </w:pPr>
    </w:p>
    <w:p w14:paraId="185100DB" w14:textId="32142C9C" w:rsidR="00A244F8" w:rsidRPr="00A244F8" w:rsidRDefault="00A244F8" w:rsidP="00A244F8">
      <w:pPr>
        <w:jc w:val="both"/>
        <w:rPr>
          <w:rFonts w:ascii="Calibri" w:hAnsi="Calibri" w:cs="Calibri"/>
          <w:iCs/>
          <w:sz w:val="24"/>
          <w:szCs w:val="24"/>
          <w:lang w:val="en-US"/>
        </w:rPr>
      </w:pPr>
    </w:p>
    <w:sectPr w:rsidR="00A244F8" w:rsidRPr="00A244F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426801" w14:textId="77777777" w:rsidR="000358D5" w:rsidRDefault="000358D5" w:rsidP="00ED5CC3">
      <w:pPr>
        <w:spacing w:after="0" w:line="240" w:lineRule="auto"/>
      </w:pPr>
      <w:r>
        <w:separator/>
      </w:r>
    </w:p>
  </w:endnote>
  <w:endnote w:type="continuationSeparator" w:id="0">
    <w:p w14:paraId="35D2CC61" w14:textId="77777777" w:rsidR="000358D5" w:rsidRDefault="000358D5" w:rsidP="00ED5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Medium">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4CCE0A" w14:textId="77777777" w:rsidR="000358D5" w:rsidRDefault="000358D5" w:rsidP="00ED5CC3">
      <w:pPr>
        <w:spacing w:after="0" w:line="240" w:lineRule="auto"/>
      </w:pPr>
      <w:r>
        <w:separator/>
      </w:r>
    </w:p>
  </w:footnote>
  <w:footnote w:type="continuationSeparator" w:id="0">
    <w:p w14:paraId="721E099E" w14:textId="77777777" w:rsidR="000358D5" w:rsidRDefault="000358D5" w:rsidP="00ED5CC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717B32"/>
    <w:multiLevelType w:val="hybridMultilevel"/>
    <w:tmpl w:val="F5D6AF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A62DCD"/>
    <w:multiLevelType w:val="multilevel"/>
    <w:tmpl w:val="9AD2E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A52EF7"/>
    <w:multiLevelType w:val="hybridMultilevel"/>
    <w:tmpl w:val="1110EAEE"/>
    <w:lvl w:ilvl="0" w:tplc="1002A348">
      <w:start w:val="1"/>
      <w:numFmt w:val="decimal"/>
      <w:lvlText w:val="%1)"/>
      <w:lvlJc w:val="left"/>
      <w:pPr>
        <w:tabs>
          <w:tab w:val="num" w:pos="720"/>
        </w:tabs>
        <w:ind w:left="720" w:hanging="360"/>
      </w:pPr>
    </w:lvl>
    <w:lvl w:ilvl="1" w:tplc="717288C6" w:tentative="1">
      <w:start w:val="1"/>
      <w:numFmt w:val="decimal"/>
      <w:lvlText w:val="%2)"/>
      <w:lvlJc w:val="left"/>
      <w:pPr>
        <w:tabs>
          <w:tab w:val="num" w:pos="1440"/>
        </w:tabs>
        <w:ind w:left="1440" w:hanging="360"/>
      </w:pPr>
    </w:lvl>
    <w:lvl w:ilvl="2" w:tplc="9BAA32E6" w:tentative="1">
      <w:start w:val="1"/>
      <w:numFmt w:val="decimal"/>
      <w:lvlText w:val="%3)"/>
      <w:lvlJc w:val="left"/>
      <w:pPr>
        <w:tabs>
          <w:tab w:val="num" w:pos="2160"/>
        </w:tabs>
        <w:ind w:left="2160" w:hanging="360"/>
      </w:pPr>
    </w:lvl>
    <w:lvl w:ilvl="3" w:tplc="25AE10D6" w:tentative="1">
      <w:start w:val="1"/>
      <w:numFmt w:val="decimal"/>
      <w:lvlText w:val="%4)"/>
      <w:lvlJc w:val="left"/>
      <w:pPr>
        <w:tabs>
          <w:tab w:val="num" w:pos="2880"/>
        </w:tabs>
        <w:ind w:left="2880" w:hanging="360"/>
      </w:pPr>
    </w:lvl>
    <w:lvl w:ilvl="4" w:tplc="36A0ECB2" w:tentative="1">
      <w:start w:val="1"/>
      <w:numFmt w:val="decimal"/>
      <w:lvlText w:val="%5)"/>
      <w:lvlJc w:val="left"/>
      <w:pPr>
        <w:tabs>
          <w:tab w:val="num" w:pos="3600"/>
        </w:tabs>
        <w:ind w:left="3600" w:hanging="360"/>
      </w:pPr>
    </w:lvl>
    <w:lvl w:ilvl="5" w:tplc="124AEAB8" w:tentative="1">
      <w:start w:val="1"/>
      <w:numFmt w:val="decimal"/>
      <w:lvlText w:val="%6)"/>
      <w:lvlJc w:val="left"/>
      <w:pPr>
        <w:tabs>
          <w:tab w:val="num" w:pos="4320"/>
        </w:tabs>
        <w:ind w:left="4320" w:hanging="360"/>
      </w:pPr>
    </w:lvl>
    <w:lvl w:ilvl="6" w:tplc="47B6A2A8" w:tentative="1">
      <w:start w:val="1"/>
      <w:numFmt w:val="decimal"/>
      <w:lvlText w:val="%7)"/>
      <w:lvlJc w:val="left"/>
      <w:pPr>
        <w:tabs>
          <w:tab w:val="num" w:pos="5040"/>
        </w:tabs>
        <w:ind w:left="5040" w:hanging="360"/>
      </w:pPr>
    </w:lvl>
    <w:lvl w:ilvl="7" w:tplc="9FC272C2" w:tentative="1">
      <w:start w:val="1"/>
      <w:numFmt w:val="decimal"/>
      <w:lvlText w:val="%8)"/>
      <w:lvlJc w:val="left"/>
      <w:pPr>
        <w:tabs>
          <w:tab w:val="num" w:pos="5760"/>
        </w:tabs>
        <w:ind w:left="5760" w:hanging="360"/>
      </w:pPr>
    </w:lvl>
    <w:lvl w:ilvl="8" w:tplc="FB989F66" w:tentative="1">
      <w:start w:val="1"/>
      <w:numFmt w:val="decimal"/>
      <w:lvlText w:val="%9)"/>
      <w:lvlJc w:val="left"/>
      <w:pPr>
        <w:tabs>
          <w:tab w:val="num" w:pos="6480"/>
        </w:tabs>
        <w:ind w:left="6480" w:hanging="360"/>
      </w:pPr>
    </w:lvl>
  </w:abstractNum>
  <w:abstractNum w:abstractNumId="3" w15:restartNumberingAfterBreak="0">
    <w:nsid w:val="13DC1A33"/>
    <w:multiLevelType w:val="multilevel"/>
    <w:tmpl w:val="95E60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5C7A3E"/>
    <w:multiLevelType w:val="multilevel"/>
    <w:tmpl w:val="9AD2E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8C059E"/>
    <w:multiLevelType w:val="multilevel"/>
    <w:tmpl w:val="365E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06725"/>
    <w:multiLevelType w:val="multilevel"/>
    <w:tmpl w:val="725A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B4608"/>
    <w:multiLevelType w:val="multilevel"/>
    <w:tmpl w:val="AD7A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4AB69"/>
    <w:multiLevelType w:val="multilevel"/>
    <w:tmpl w:val="350686B4"/>
    <w:lvl w:ilvl="0">
      <w:start w:val="1"/>
      <w:numFmt w:val="decimal"/>
      <w:pStyle w:val="Stile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DEF48EB"/>
    <w:multiLevelType w:val="multilevel"/>
    <w:tmpl w:val="70943F42"/>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3EE92050"/>
    <w:multiLevelType w:val="hybridMultilevel"/>
    <w:tmpl w:val="462C6BE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49EA66E8"/>
    <w:multiLevelType w:val="multilevel"/>
    <w:tmpl w:val="37F6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FD44A7"/>
    <w:multiLevelType w:val="multilevel"/>
    <w:tmpl w:val="70943F4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4740DF3"/>
    <w:multiLevelType w:val="hybridMultilevel"/>
    <w:tmpl w:val="7C869E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8A7CFA7"/>
    <w:multiLevelType w:val="hybridMultilevel"/>
    <w:tmpl w:val="6846B8C0"/>
    <w:lvl w:ilvl="0" w:tplc="18643124">
      <w:start w:val="1"/>
      <w:numFmt w:val="decimal"/>
      <w:lvlText w:val="%1)"/>
      <w:lvlJc w:val="left"/>
      <w:pPr>
        <w:ind w:left="360" w:hanging="360"/>
      </w:pPr>
    </w:lvl>
    <w:lvl w:ilvl="1" w:tplc="7A9C1F98">
      <w:start w:val="1"/>
      <w:numFmt w:val="lowerLetter"/>
      <w:lvlText w:val="%2."/>
      <w:lvlJc w:val="left"/>
      <w:pPr>
        <w:ind w:left="1080" w:hanging="360"/>
      </w:pPr>
    </w:lvl>
    <w:lvl w:ilvl="2" w:tplc="83F4ACEE">
      <w:start w:val="1"/>
      <w:numFmt w:val="lowerRoman"/>
      <w:lvlText w:val="%3."/>
      <w:lvlJc w:val="right"/>
      <w:pPr>
        <w:ind w:left="1800" w:hanging="180"/>
      </w:pPr>
    </w:lvl>
    <w:lvl w:ilvl="3" w:tplc="9740D6B0">
      <w:start w:val="1"/>
      <w:numFmt w:val="decimal"/>
      <w:lvlText w:val="%4."/>
      <w:lvlJc w:val="left"/>
      <w:pPr>
        <w:ind w:left="2520" w:hanging="360"/>
      </w:pPr>
    </w:lvl>
    <w:lvl w:ilvl="4" w:tplc="C88ACE80">
      <w:start w:val="1"/>
      <w:numFmt w:val="lowerLetter"/>
      <w:lvlText w:val="%5."/>
      <w:lvlJc w:val="left"/>
      <w:pPr>
        <w:ind w:left="3240" w:hanging="360"/>
      </w:pPr>
    </w:lvl>
    <w:lvl w:ilvl="5" w:tplc="AA3892E2">
      <w:start w:val="1"/>
      <w:numFmt w:val="lowerRoman"/>
      <w:lvlText w:val="%6."/>
      <w:lvlJc w:val="right"/>
      <w:pPr>
        <w:ind w:left="3960" w:hanging="180"/>
      </w:pPr>
    </w:lvl>
    <w:lvl w:ilvl="6" w:tplc="7BA61412">
      <w:start w:val="1"/>
      <w:numFmt w:val="decimal"/>
      <w:lvlText w:val="%7."/>
      <w:lvlJc w:val="left"/>
      <w:pPr>
        <w:ind w:left="4680" w:hanging="360"/>
      </w:pPr>
    </w:lvl>
    <w:lvl w:ilvl="7" w:tplc="336ABF56">
      <w:start w:val="1"/>
      <w:numFmt w:val="lowerLetter"/>
      <w:lvlText w:val="%8."/>
      <w:lvlJc w:val="left"/>
      <w:pPr>
        <w:ind w:left="5400" w:hanging="360"/>
      </w:pPr>
    </w:lvl>
    <w:lvl w:ilvl="8" w:tplc="CFAA4090">
      <w:start w:val="1"/>
      <w:numFmt w:val="lowerRoman"/>
      <w:lvlText w:val="%9."/>
      <w:lvlJc w:val="right"/>
      <w:pPr>
        <w:ind w:left="6120" w:hanging="180"/>
      </w:pPr>
    </w:lvl>
  </w:abstractNum>
  <w:abstractNum w:abstractNumId="15" w15:restartNumberingAfterBreak="0">
    <w:nsid w:val="6BAE5610"/>
    <w:multiLevelType w:val="hybridMultilevel"/>
    <w:tmpl w:val="61DC95D2"/>
    <w:lvl w:ilvl="0" w:tplc="05D2B02E">
      <w:start w:val="1"/>
      <w:numFmt w:val="upperLetter"/>
      <w:lvlText w:val="%1)"/>
      <w:lvlJc w:val="left"/>
      <w:pPr>
        <w:ind w:left="720" w:hanging="360"/>
      </w:pPr>
    </w:lvl>
    <w:lvl w:ilvl="1" w:tplc="74BE3DB0">
      <w:start w:val="1"/>
      <w:numFmt w:val="lowerLetter"/>
      <w:lvlText w:val="%2."/>
      <w:lvlJc w:val="left"/>
      <w:pPr>
        <w:ind w:left="1440" w:hanging="360"/>
      </w:pPr>
    </w:lvl>
    <w:lvl w:ilvl="2" w:tplc="18084072">
      <w:start w:val="1"/>
      <w:numFmt w:val="lowerRoman"/>
      <w:lvlText w:val="%3."/>
      <w:lvlJc w:val="right"/>
      <w:pPr>
        <w:ind w:left="2160" w:hanging="180"/>
      </w:pPr>
    </w:lvl>
    <w:lvl w:ilvl="3" w:tplc="B900CF8E">
      <w:start w:val="1"/>
      <w:numFmt w:val="decimal"/>
      <w:lvlText w:val="%4."/>
      <w:lvlJc w:val="left"/>
      <w:pPr>
        <w:ind w:left="2880" w:hanging="360"/>
      </w:pPr>
    </w:lvl>
    <w:lvl w:ilvl="4" w:tplc="F288DA68">
      <w:start w:val="1"/>
      <w:numFmt w:val="lowerLetter"/>
      <w:lvlText w:val="%5."/>
      <w:lvlJc w:val="left"/>
      <w:pPr>
        <w:ind w:left="3600" w:hanging="360"/>
      </w:pPr>
    </w:lvl>
    <w:lvl w:ilvl="5" w:tplc="44CEF288">
      <w:start w:val="1"/>
      <w:numFmt w:val="lowerRoman"/>
      <w:lvlText w:val="%6."/>
      <w:lvlJc w:val="right"/>
      <w:pPr>
        <w:ind w:left="4320" w:hanging="180"/>
      </w:pPr>
    </w:lvl>
    <w:lvl w:ilvl="6" w:tplc="FBA0DF14">
      <w:start w:val="1"/>
      <w:numFmt w:val="decimal"/>
      <w:lvlText w:val="%7."/>
      <w:lvlJc w:val="left"/>
      <w:pPr>
        <w:ind w:left="5040" w:hanging="360"/>
      </w:pPr>
    </w:lvl>
    <w:lvl w:ilvl="7" w:tplc="9E5CAAFA">
      <w:start w:val="1"/>
      <w:numFmt w:val="lowerLetter"/>
      <w:lvlText w:val="%8."/>
      <w:lvlJc w:val="left"/>
      <w:pPr>
        <w:ind w:left="5760" w:hanging="360"/>
      </w:pPr>
    </w:lvl>
    <w:lvl w:ilvl="8" w:tplc="C9960062">
      <w:start w:val="1"/>
      <w:numFmt w:val="lowerRoman"/>
      <w:lvlText w:val="%9."/>
      <w:lvlJc w:val="right"/>
      <w:pPr>
        <w:ind w:left="6480" w:hanging="180"/>
      </w:pPr>
    </w:lvl>
  </w:abstractNum>
  <w:abstractNum w:abstractNumId="16" w15:restartNumberingAfterBreak="0">
    <w:nsid w:val="73F66564"/>
    <w:multiLevelType w:val="multilevel"/>
    <w:tmpl w:val="E5B2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5"/>
  </w:num>
  <w:num w:numId="3">
    <w:abstractNumId w:val="8"/>
  </w:num>
  <w:num w:numId="4">
    <w:abstractNumId w:val="2"/>
  </w:num>
  <w:num w:numId="5">
    <w:abstractNumId w:val="12"/>
  </w:num>
  <w:num w:numId="6">
    <w:abstractNumId w:val="9"/>
  </w:num>
  <w:num w:numId="7">
    <w:abstractNumId w:val="3"/>
  </w:num>
  <w:num w:numId="8">
    <w:abstractNumId w:val="1"/>
  </w:num>
  <w:num w:numId="9">
    <w:abstractNumId w:val="11"/>
  </w:num>
  <w:num w:numId="10">
    <w:abstractNumId w:val="8"/>
  </w:num>
  <w:num w:numId="11">
    <w:abstractNumId w:val="10"/>
  </w:num>
  <w:num w:numId="12">
    <w:abstractNumId w:val="13"/>
  </w:num>
  <w:num w:numId="13">
    <w:abstractNumId w:val="4"/>
  </w:num>
  <w:num w:numId="14">
    <w:abstractNumId w:val="7"/>
  </w:num>
  <w:num w:numId="15">
    <w:abstractNumId w:val="5"/>
  </w:num>
  <w:num w:numId="16">
    <w:abstractNumId w:val="16"/>
  </w:num>
  <w:num w:numId="17">
    <w:abstractNumId w:val="6"/>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CC3"/>
    <w:rsid w:val="000358D5"/>
    <w:rsid w:val="000B03E7"/>
    <w:rsid w:val="00134BB6"/>
    <w:rsid w:val="00136EAF"/>
    <w:rsid w:val="0013734F"/>
    <w:rsid w:val="00471E72"/>
    <w:rsid w:val="004D41B8"/>
    <w:rsid w:val="004F278C"/>
    <w:rsid w:val="00532BBF"/>
    <w:rsid w:val="00592A4C"/>
    <w:rsid w:val="00607D98"/>
    <w:rsid w:val="00677655"/>
    <w:rsid w:val="006D032C"/>
    <w:rsid w:val="007021A7"/>
    <w:rsid w:val="007A34A7"/>
    <w:rsid w:val="007B2F09"/>
    <w:rsid w:val="00800D50"/>
    <w:rsid w:val="00890E0F"/>
    <w:rsid w:val="008923E7"/>
    <w:rsid w:val="008A3ACD"/>
    <w:rsid w:val="008D4155"/>
    <w:rsid w:val="008F02B2"/>
    <w:rsid w:val="009B701F"/>
    <w:rsid w:val="009C3483"/>
    <w:rsid w:val="009F1A7F"/>
    <w:rsid w:val="00A244F8"/>
    <w:rsid w:val="00C6622A"/>
    <w:rsid w:val="00C66FCE"/>
    <w:rsid w:val="00CC2E8C"/>
    <w:rsid w:val="00D56B3C"/>
    <w:rsid w:val="00ED5CC3"/>
    <w:rsid w:val="0213F8FA"/>
    <w:rsid w:val="0922564A"/>
    <w:rsid w:val="0EE323CC"/>
    <w:rsid w:val="1A990BF2"/>
    <w:rsid w:val="1B429F0C"/>
    <w:rsid w:val="1DBBF7ED"/>
    <w:rsid w:val="1EBE1994"/>
    <w:rsid w:val="26CABDFB"/>
    <w:rsid w:val="27754D35"/>
    <w:rsid w:val="2C4E8240"/>
    <w:rsid w:val="2D6FDA85"/>
    <w:rsid w:val="3243DACA"/>
    <w:rsid w:val="35413D53"/>
    <w:rsid w:val="37B62A7A"/>
    <w:rsid w:val="45F12907"/>
    <w:rsid w:val="47279F74"/>
    <w:rsid w:val="4C83FB33"/>
    <w:rsid w:val="50502B08"/>
    <w:rsid w:val="54F39868"/>
    <w:rsid w:val="57F53419"/>
    <w:rsid w:val="6061FED5"/>
    <w:rsid w:val="62BE9FBD"/>
    <w:rsid w:val="6529DE47"/>
    <w:rsid w:val="68DD6D56"/>
    <w:rsid w:val="71241617"/>
    <w:rsid w:val="764E973F"/>
    <w:rsid w:val="79ADEEFC"/>
    <w:rsid w:val="7C5946E0"/>
    <w:rsid w:val="7E61502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8F5B7"/>
  <w15:chartTrackingRefBased/>
  <w15:docId w15:val="{A4152037-9F7F-4B05-92FF-A4EC4312D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5CC3"/>
    <w:rPr>
      <w:kern w:val="0"/>
      <w:lang w:val="bg-BG"/>
    </w:rPr>
  </w:style>
  <w:style w:type="paragraph" w:styleId="Ttulo1">
    <w:name w:val="heading 1"/>
    <w:basedOn w:val="Normal"/>
    <w:next w:val="Normal"/>
    <w:link w:val="Ttulo1Car"/>
    <w:uiPriority w:val="9"/>
    <w:qFormat/>
    <w:rsid w:val="00ED5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5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5C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5C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5C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5C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5C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5C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5C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5CC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5CC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5CC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5CC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5CC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5C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5C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5C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5CC3"/>
    <w:rPr>
      <w:rFonts w:eastAsiaTheme="majorEastAsia" w:cstheme="majorBidi"/>
      <w:color w:val="272727" w:themeColor="text1" w:themeTint="D8"/>
    </w:rPr>
  </w:style>
  <w:style w:type="paragraph" w:styleId="Puesto">
    <w:name w:val="Title"/>
    <w:aliases w:val="PLD_FRONT_TITLE"/>
    <w:basedOn w:val="Normal"/>
    <w:next w:val="Normal"/>
    <w:link w:val="PuestoCar"/>
    <w:uiPriority w:val="10"/>
    <w:qFormat/>
    <w:rsid w:val="00ED5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aliases w:val="PLD_FRONT_TITLE Car"/>
    <w:basedOn w:val="Fuentedeprrafopredeter"/>
    <w:link w:val="Puesto"/>
    <w:uiPriority w:val="10"/>
    <w:rsid w:val="00ED5C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5C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5C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5CC3"/>
    <w:pPr>
      <w:spacing w:before="160"/>
      <w:jc w:val="center"/>
    </w:pPr>
    <w:rPr>
      <w:i/>
      <w:iCs/>
      <w:color w:val="404040" w:themeColor="text1" w:themeTint="BF"/>
    </w:rPr>
  </w:style>
  <w:style w:type="character" w:customStyle="1" w:styleId="CitaCar">
    <w:name w:val="Cita Car"/>
    <w:basedOn w:val="Fuentedeprrafopredeter"/>
    <w:link w:val="Cita"/>
    <w:uiPriority w:val="29"/>
    <w:rsid w:val="00ED5CC3"/>
    <w:rPr>
      <w:i/>
      <w:iCs/>
      <w:color w:val="404040" w:themeColor="text1" w:themeTint="BF"/>
    </w:rPr>
  </w:style>
  <w:style w:type="paragraph" w:styleId="Prrafodelista">
    <w:name w:val="List Paragraph"/>
    <w:basedOn w:val="Normal"/>
    <w:uiPriority w:val="34"/>
    <w:qFormat/>
    <w:rsid w:val="00ED5CC3"/>
    <w:pPr>
      <w:ind w:left="720"/>
      <w:contextualSpacing/>
    </w:pPr>
  </w:style>
  <w:style w:type="character" w:styleId="nfasisintenso">
    <w:name w:val="Intense Emphasis"/>
    <w:basedOn w:val="Fuentedeprrafopredeter"/>
    <w:uiPriority w:val="21"/>
    <w:qFormat/>
    <w:rsid w:val="00ED5CC3"/>
    <w:rPr>
      <w:i/>
      <w:iCs/>
      <w:color w:val="0F4761" w:themeColor="accent1" w:themeShade="BF"/>
    </w:rPr>
  </w:style>
  <w:style w:type="paragraph" w:styleId="Citadestacada">
    <w:name w:val="Intense Quote"/>
    <w:basedOn w:val="Normal"/>
    <w:next w:val="Normal"/>
    <w:link w:val="CitadestacadaCar"/>
    <w:uiPriority w:val="30"/>
    <w:qFormat/>
    <w:rsid w:val="00ED5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5CC3"/>
    <w:rPr>
      <w:i/>
      <w:iCs/>
      <w:color w:val="0F4761" w:themeColor="accent1" w:themeShade="BF"/>
    </w:rPr>
  </w:style>
  <w:style w:type="character" w:styleId="Referenciaintensa">
    <w:name w:val="Intense Reference"/>
    <w:basedOn w:val="Fuentedeprrafopredeter"/>
    <w:uiPriority w:val="32"/>
    <w:qFormat/>
    <w:rsid w:val="00ED5CC3"/>
    <w:rPr>
      <w:b/>
      <w:bCs/>
      <w:smallCaps/>
      <w:color w:val="0F4761" w:themeColor="accent1" w:themeShade="BF"/>
      <w:spacing w:val="5"/>
    </w:rPr>
  </w:style>
  <w:style w:type="paragraph" w:styleId="NormalWeb">
    <w:name w:val="Normal (Web)"/>
    <w:basedOn w:val="Normal"/>
    <w:uiPriority w:val="99"/>
    <w:unhideWhenUsed/>
    <w:rsid w:val="00ED5CC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Encabezado">
    <w:name w:val="header"/>
    <w:basedOn w:val="Normal"/>
    <w:link w:val="EncabezadoCar"/>
    <w:uiPriority w:val="99"/>
    <w:unhideWhenUsed/>
    <w:rsid w:val="00ED5CC3"/>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ED5CC3"/>
    <w:rPr>
      <w:kern w:val="0"/>
      <w:lang w:val="bg-BG"/>
    </w:rPr>
  </w:style>
  <w:style w:type="paragraph" w:styleId="Piedepgina">
    <w:name w:val="footer"/>
    <w:basedOn w:val="Normal"/>
    <w:link w:val="PiedepginaCar"/>
    <w:uiPriority w:val="99"/>
    <w:unhideWhenUsed/>
    <w:rsid w:val="00ED5CC3"/>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ED5CC3"/>
    <w:rPr>
      <w:kern w:val="0"/>
      <w:lang w:val="bg-BG"/>
    </w:rPr>
  </w:style>
  <w:style w:type="paragraph" w:customStyle="1" w:styleId="Stile1">
    <w:name w:val="Stile1"/>
    <w:basedOn w:val="Ttulo1"/>
    <w:link w:val="Stile1Carattere"/>
    <w:qFormat/>
    <w:rsid w:val="00ED5CC3"/>
    <w:pPr>
      <w:numPr>
        <w:numId w:val="3"/>
      </w:numPr>
      <w:tabs>
        <w:tab w:val="left" w:pos="360"/>
      </w:tabs>
      <w:spacing w:before="240" w:after="240"/>
      <w:jc w:val="both"/>
    </w:pPr>
    <w:rPr>
      <w:rFonts w:ascii="Calibri" w:eastAsia="Calibri" w:hAnsi="Calibri" w:cs="Calibri"/>
      <w:b/>
      <w:bCs/>
      <w:color w:val="0A2F41" w:themeColor="accent1" w:themeShade="80"/>
      <w:sz w:val="32"/>
      <w:szCs w:val="32"/>
      <w:lang w:val="en-US"/>
    </w:rPr>
  </w:style>
  <w:style w:type="character" w:customStyle="1" w:styleId="Stile1Carattere">
    <w:name w:val="Stile1 Carattere"/>
    <w:basedOn w:val="Ttulo1Car"/>
    <w:link w:val="Stile1"/>
    <w:rsid w:val="00ED5CC3"/>
    <w:rPr>
      <w:rFonts w:ascii="Calibri" w:eastAsia="Calibri" w:hAnsi="Calibri" w:cs="Calibri"/>
      <w:b/>
      <w:bCs/>
      <w:color w:val="0A2F41" w:themeColor="accent1" w:themeShade="80"/>
      <w:kern w:val="0"/>
      <w:sz w:val="32"/>
      <w:szCs w:val="32"/>
      <w:lang w:val="en-US"/>
    </w:rPr>
  </w:style>
  <w:style w:type="character" w:styleId="Hipervnculo">
    <w:name w:val="Hyperlink"/>
    <w:basedOn w:val="Fuentedeprrafopredeter"/>
    <w:uiPriority w:val="99"/>
    <w:unhideWhenUsed/>
    <w:rsid w:val="27754D35"/>
    <w:rPr>
      <w:color w:val="467886"/>
      <w:u w:val="single"/>
    </w:rPr>
  </w:style>
  <w:style w:type="table" w:customStyle="1" w:styleId="23">
    <w:name w:val="23"/>
    <w:basedOn w:val="Tablanormal"/>
    <w:rsid w:val="00C66FCE"/>
    <w:pPr>
      <w:spacing w:after="0" w:line="240" w:lineRule="auto"/>
    </w:pPr>
    <w:rPr>
      <w:rFonts w:ascii="Arial" w:eastAsia="Arial" w:hAnsi="Arial" w:cs="Arial"/>
      <w:kern w:val="0"/>
      <w:lang w:val="en-US" w:eastAsia="es-ES"/>
      <w14:ligatures w14:val="none"/>
    </w:rPr>
    <w:tblPr>
      <w:tblStyleRowBandSize w:val="1"/>
      <w:tblStyleColBandSize w:val="1"/>
    </w:tblPr>
  </w:style>
  <w:style w:type="character" w:styleId="Hipervnculovisitado">
    <w:name w:val="FollowedHyperlink"/>
    <w:basedOn w:val="Fuentedeprrafopredeter"/>
    <w:uiPriority w:val="99"/>
    <w:semiHidden/>
    <w:unhideWhenUsed/>
    <w:rsid w:val="00607D98"/>
    <w:rPr>
      <w:color w:val="96607D" w:themeColor="followedHyperlink"/>
      <w:u w:val="single"/>
    </w:rPr>
  </w:style>
  <w:style w:type="character" w:styleId="Textoennegrita">
    <w:name w:val="Strong"/>
    <w:basedOn w:val="Fuentedeprrafopredeter"/>
    <w:uiPriority w:val="22"/>
    <w:qFormat/>
    <w:rsid w:val="00607D98"/>
    <w:rPr>
      <w:b/>
      <w:bCs/>
    </w:rPr>
  </w:style>
  <w:style w:type="paragraph" w:styleId="Textonotapie">
    <w:name w:val="footnote text"/>
    <w:basedOn w:val="Normal"/>
    <w:link w:val="TextonotapieCar"/>
    <w:uiPriority w:val="99"/>
    <w:semiHidden/>
    <w:unhideWhenUsed/>
    <w:rsid w:val="00890E0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90E0F"/>
    <w:rPr>
      <w:kern w:val="0"/>
      <w:sz w:val="20"/>
      <w:szCs w:val="20"/>
      <w:lang w:val="bg-BG"/>
    </w:rPr>
  </w:style>
  <w:style w:type="character" w:styleId="Refdenotaalpie">
    <w:name w:val="footnote reference"/>
    <w:basedOn w:val="Fuentedeprrafopredeter"/>
    <w:uiPriority w:val="99"/>
    <w:semiHidden/>
    <w:unhideWhenUsed/>
    <w:rsid w:val="00890E0F"/>
    <w:rPr>
      <w:vertAlign w:val="superscript"/>
    </w:rPr>
  </w:style>
  <w:style w:type="paragraph" w:styleId="HTMLconformatoprevio">
    <w:name w:val="HTML Preformatted"/>
    <w:basedOn w:val="Normal"/>
    <w:link w:val="HTMLconformatoprevioCar"/>
    <w:uiPriority w:val="99"/>
    <w:semiHidden/>
    <w:unhideWhenUsed/>
    <w:rsid w:val="007021A7"/>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7021A7"/>
    <w:rPr>
      <w:rFonts w:ascii="Consolas" w:hAnsi="Consolas"/>
      <w:kern w:val="0"/>
      <w:sz w:val="20"/>
      <w:szCs w:val="20"/>
      <w:lang w:val="bg-BG"/>
    </w:rPr>
  </w:style>
  <w:style w:type="character" w:customStyle="1" w:styleId="hwtze">
    <w:name w:val="hwtze"/>
    <w:basedOn w:val="Fuentedeprrafopredeter"/>
    <w:rsid w:val="00532BBF"/>
  </w:style>
  <w:style w:type="character" w:customStyle="1" w:styleId="rynqvb">
    <w:name w:val="rynqvb"/>
    <w:basedOn w:val="Fuentedeprrafopredeter"/>
    <w:rsid w:val="00532B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041762">
      <w:bodyDiv w:val="1"/>
      <w:marLeft w:val="0"/>
      <w:marRight w:val="0"/>
      <w:marTop w:val="0"/>
      <w:marBottom w:val="0"/>
      <w:divBdr>
        <w:top w:val="none" w:sz="0" w:space="0" w:color="auto"/>
        <w:left w:val="none" w:sz="0" w:space="0" w:color="auto"/>
        <w:bottom w:val="none" w:sz="0" w:space="0" w:color="auto"/>
        <w:right w:val="none" w:sz="0" w:space="0" w:color="auto"/>
      </w:divBdr>
    </w:div>
    <w:div w:id="59443339">
      <w:bodyDiv w:val="1"/>
      <w:marLeft w:val="0"/>
      <w:marRight w:val="0"/>
      <w:marTop w:val="0"/>
      <w:marBottom w:val="0"/>
      <w:divBdr>
        <w:top w:val="none" w:sz="0" w:space="0" w:color="auto"/>
        <w:left w:val="none" w:sz="0" w:space="0" w:color="auto"/>
        <w:bottom w:val="none" w:sz="0" w:space="0" w:color="auto"/>
        <w:right w:val="none" w:sz="0" w:space="0" w:color="auto"/>
      </w:divBdr>
    </w:div>
    <w:div w:id="92090625">
      <w:bodyDiv w:val="1"/>
      <w:marLeft w:val="0"/>
      <w:marRight w:val="0"/>
      <w:marTop w:val="0"/>
      <w:marBottom w:val="0"/>
      <w:divBdr>
        <w:top w:val="none" w:sz="0" w:space="0" w:color="auto"/>
        <w:left w:val="none" w:sz="0" w:space="0" w:color="auto"/>
        <w:bottom w:val="none" w:sz="0" w:space="0" w:color="auto"/>
        <w:right w:val="none" w:sz="0" w:space="0" w:color="auto"/>
      </w:divBdr>
    </w:div>
    <w:div w:id="241529797">
      <w:bodyDiv w:val="1"/>
      <w:marLeft w:val="0"/>
      <w:marRight w:val="0"/>
      <w:marTop w:val="0"/>
      <w:marBottom w:val="0"/>
      <w:divBdr>
        <w:top w:val="none" w:sz="0" w:space="0" w:color="auto"/>
        <w:left w:val="none" w:sz="0" w:space="0" w:color="auto"/>
        <w:bottom w:val="none" w:sz="0" w:space="0" w:color="auto"/>
        <w:right w:val="none" w:sz="0" w:space="0" w:color="auto"/>
      </w:divBdr>
    </w:div>
    <w:div w:id="273055736">
      <w:bodyDiv w:val="1"/>
      <w:marLeft w:val="0"/>
      <w:marRight w:val="0"/>
      <w:marTop w:val="0"/>
      <w:marBottom w:val="0"/>
      <w:divBdr>
        <w:top w:val="none" w:sz="0" w:space="0" w:color="auto"/>
        <w:left w:val="none" w:sz="0" w:space="0" w:color="auto"/>
        <w:bottom w:val="none" w:sz="0" w:space="0" w:color="auto"/>
        <w:right w:val="none" w:sz="0" w:space="0" w:color="auto"/>
      </w:divBdr>
    </w:div>
    <w:div w:id="619845742">
      <w:bodyDiv w:val="1"/>
      <w:marLeft w:val="0"/>
      <w:marRight w:val="0"/>
      <w:marTop w:val="0"/>
      <w:marBottom w:val="0"/>
      <w:divBdr>
        <w:top w:val="none" w:sz="0" w:space="0" w:color="auto"/>
        <w:left w:val="none" w:sz="0" w:space="0" w:color="auto"/>
        <w:bottom w:val="none" w:sz="0" w:space="0" w:color="auto"/>
        <w:right w:val="none" w:sz="0" w:space="0" w:color="auto"/>
      </w:divBdr>
    </w:div>
    <w:div w:id="636761873">
      <w:bodyDiv w:val="1"/>
      <w:marLeft w:val="0"/>
      <w:marRight w:val="0"/>
      <w:marTop w:val="0"/>
      <w:marBottom w:val="0"/>
      <w:divBdr>
        <w:top w:val="none" w:sz="0" w:space="0" w:color="auto"/>
        <w:left w:val="none" w:sz="0" w:space="0" w:color="auto"/>
        <w:bottom w:val="none" w:sz="0" w:space="0" w:color="auto"/>
        <w:right w:val="none" w:sz="0" w:space="0" w:color="auto"/>
      </w:divBdr>
      <w:divsChild>
        <w:div w:id="734398716">
          <w:marLeft w:val="0"/>
          <w:marRight w:val="0"/>
          <w:marTop w:val="0"/>
          <w:marBottom w:val="0"/>
          <w:divBdr>
            <w:top w:val="none" w:sz="0" w:space="0" w:color="auto"/>
            <w:left w:val="none" w:sz="0" w:space="0" w:color="auto"/>
            <w:bottom w:val="none" w:sz="0" w:space="0" w:color="auto"/>
            <w:right w:val="none" w:sz="0" w:space="0" w:color="auto"/>
          </w:divBdr>
        </w:div>
      </w:divsChild>
    </w:div>
    <w:div w:id="649670276">
      <w:bodyDiv w:val="1"/>
      <w:marLeft w:val="0"/>
      <w:marRight w:val="0"/>
      <w:marTop w:val="0"/>
      <w:marBottom w:val="0"/>
      <w:divBdr>
        <w:top w:val="none" w:sz="0" w:space="0" w:color="auto"/>
        <w:left w:val="none" w:sz="0" w:space="0" w:color="auto"/>
        <w:bottom w:val="none" w:sz="0" w:space="0" w:color="auto"/>
        <w:right w:val="none" w:sz="0" w:space="0" w:color="auto"/>
      </w:divBdr>
    </w:div>
    <w:div w:id="664207636">
      <w:bodyDiv w:val="1"/>
      <w:marLeft w:val="0"/>
      <w:marRight w:val="0"/>
      <w:marTop w:val="0"/>
      <w:marBottom w:val="0"/>
      <w:divBdr>
        <w:top w:val="none" w:sz="0" w:space="0" w:color="auto"/>
        <w:left w:val="none" w:sz="0" w:space="0" w:color="auto"/>
        <w:bottom w:val="none" w:sz="0" w:space="0" w:color="auto"/>
        <w:right w:val="none" w:sz="0" w:space="0" w:color="auto"/>
      </w:divBdr>
    </w:div>
    <w:div w:id="680813221">
      <w:bodyDiv w:val="1"/>
      <w:marLeft w:val="0"/>
      <w:marRight w:val="0"/>
      <w:marTop w:val="0"/>
      <w:marBottom w:val="0"/>
      <w:divBdr>
        <w:top w:val="none" w:sz="0" w:space="0" w:color="auto"/>
        <w:left w:val="none" w:sz="0" w:space="0" w:color="auto"/>
        <w:bottom w:val="none" w:sz="0" w:space="0" w:color="auto"/>
        <w:right w:val="none" w:sz="0" w:space="0" w:color="auto"/>
      </w:divBdr>
      <w:divsChild>
        <w:div w:id="2127850777">
          <w:marLeft w:val="806"/>
          <w:marRight w:val="0"/>
          <w:marTop w:val="200"/>
          <w:marBottom w:val="0"/>
          <w:divBdr>
            <w:top w:val="none" w:sz="0" w:space="0" w:color="auto"/>
            <w:left w:val="none" w:sz="0" w:space="0" w:color="auto"/>
            <w:bottom w:val="none" w:sz="0" w:space="0" w:color="auto"/>
            <w:right w:val="none" w:sz="0" w:space="0" w:color="auto"/>
          </w:divBdr>
        </w:div>
        <w:div w:id="454838568">
          <w:marLeft w:val="806"/>
          <w:marRight w:val="0"/>
          <w:marTop w:val="200"/>
          <w:marBottom w:val="0"/>
          <w:divBdr>
            <w:top w:val="none" w:sz="0" w:space="0" w:color="auto"/>
            <w:left w:val="none" w:sz="0" w:space="0" w:color="auto"/>
            <w:bottom w:val="none" w:sz="0" w:space="0" w:color="auto"/>
            <w:right w:val="none" w:sz="0" w:space="0" w:color="auto"/>
          </w:divBdr>
        </w:div>
        <w:div w:id="852571686">
          <w:marLeft w:val="806"/>
          <w:marRight w:val="0"/>
          <w:marTop w:val="200"/>
          <w:marBottom w:val="0"/>
          <w:divBdr>
            <w:top w:val="none" w:sz="0" w:space="0" w:color="auto"/>
            <w:left w:val="none" w:sz="0" w:space="0" w:color="auto"/>
            <w:bottom w:val="none" w:sz="0" w:space="0" w:color="auto"/>
            <w:right w:val="none" w:sz="0" w:space="0" w:color="auto"/>
          </w:divBdr>
        </w:div>
        <w:div w:id="2094427812">
          <w:marLeft w:val="806"/>
          <w:marRight w:val="0"/>
          <w:marTop w:val="200"/>
          <w:marBottom w:val="0"/>
          <w:divBdr>
            <w:top w:val="none" w:sz="0" w:space="0" w:color="auto"/>
            <w:left w:val="none" w:sz="0" w:space="0" w:color="auto"/>
            <w:bottom w:val="none" w:sz="0" w:space="0" w:color="auto"/>
            <w:right w:val="none" w:sz="0" w:space="0" w:color="auto"/>
          </w:divBdr>
        </w:div>
      </w:divsChild>
    </w:div>
    <w:div w:id="706024403">
      <w:bodyDiv w:val="1"/>
      <w:marLeft w:val="0"/>
      <w:marRight w:val="0"/>
      <w:marTop w:val="0"/>
      <w:marBottom w:val="0"/>
      <w:divBdr>
        <w:top w:val="none" w:sz="0" w:space="0" w:color="auto"/>
        <w:left w:val="none" w:sz="0" w:space="0" w:color="auto"/>
        <w:bottom w:val="none" w:sz="0" w:space="0" w:color="auto"/>
        <w:right w:val="none" w:sz="0" w:space="0" w:color="auto"/>
      </w:divBdr>
    </w:div>
    <w:div w:id="726411987">
      <w:bodyDiv w:val="1"/>
      <w:marLeft w:val="0"/>
      <w:marRight w:val="0"/>
      <w:marTop w:val="0"/>
      <w:marBottom w:val="0"/>
      <w:divBdr>
        <w:top w:val="none" w:sz="0" w:space="0" w:color="auto"/>
        <w:left w:val="none" w:sz="0" w:space="0" w:color="auto"/>
        <w:bottom w:val="none" w:sz="0" w:space="0" w:color="auto"/>
        <w:right w:val="none" w:sz="0" w:space="0" w:color="auto"/>
      </w:divBdr>
    </w:div>
    <w:div w:id="798887460">
      <w:bodyDiv w:val="1"/>
      <w:marLeft w:val="0"/>
      <w:marRight w:val="0"/>
      <w:marTop w:val="0"/>
      <w:marBottom w:val="0"/>
      <w:divBdr>
        <w:top w:val="none" w:sz="0" w:space="0" w:color="auto"/>
        <w:left w:val="none" w:sz="0" w:space="0" w:color="auto"/>
        <w:bottom w:val="none" w:sz="0" w:space="0" w:color="auto"/>
        <w:right w:val="none" w:sz="0" w:space="0" w:color="auto"/>
      </w:divBdr>
      <w:divsChild>
        <w:div w:id="1183982549">
          <w:marLeft w:val="0"/>
          <w:marRight w:val="0"/>
          <w:marTop w:val="0"/>
          <w:marBottom w:val="0"/>
          <w:divBdr>
            <w:top w:val="none" w:sz="0" w:space="0" w:color="auto"/>
            <w:left w:val="none" w:sz="0" w:space="0" w:color="auto"/>
            <w:bottom w:val="none" w:sz="0" w:space="0" w:color="auto"/>
            <w:right w:val="none" w:sz="0" w:space="0" w:color="auto"/>
          </w:divBdr>
          <w:divsChild>
            <w:div w:id="4030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79662">
      <w:bodyDiv w:val="1"/>
      <w:marLeft w:val="0"/>
      <w:marRight w:val="0"/>
      <w:marTop w:val="0"/>
      <w:marBottom w:val="0"/>
      <w:divBdr>
        <w:top w:val="none" w:sz="0" w:space="0" w:color="auto"/>
        <w:left w:val="none" w:sz="0" w:space="0" w:color="auto"/>
        <w:bottom w:val="none" w:sz="0" w:space="0" w:color="auto"/>
        <w:right w:val="none" w:sz="0" w:space="0" w:color="auto"/>
      </w:divBdr>
    </w:div>
    <w:div w:id="1032219933">
      <w:bodyDiv w:val="1"/>
      <w:marLeft w:val="0"/>
      <w:marRight w:val="0"/>
      <w:marTop w:val="0"/>
      <w:marBottom w:val="0"/>
      <w:divBdr>
        <w:top w:val="none" w:sz="0" w:space="0" w:color="auto"/>
        <w:left w:val="none" w:sz="0" w:space="0" w:color="auto"/>
        <w:bottom w:val="none" w:sz="0" w:space="0" w:color="auto"/>
        <w:right w:val="none" w:sz="0" w:space="0" w:color="auto"/>
      </w:divBdr>
    </w:div>
    <w:div w:id="1066759212">
      <w:bodyDiv w:val="1"/>
      <w:marLeft w:val="0"/>
      <w:marRight w:val="0"/>
      <w:marTop w:val="0"/>
      <w:marBottom w:val="0"/>
      <w:divBdr>
        <w:top w:val="none" w:sz="0" w:space="0" w:color="auto"/>
        <w:left w:val="none" w:sz="0" w:space="0" w:color="auto"/>
        <w:bottom w:val="none" w:sz="0" w:space="0" w:color="auto"/>
        <w:right w:val="none" w:sz="0" w:space="0" w:color="auto"/>
      </w:divBdr>
    </w:div>
    <w:div w:id="1067386243">
      <w:bodyDiv w:val="1"/>
      <w:marLeft w:val="0"/>
      <w:marRight w:val="0"/>
      <w:marTop w:val="0"/>
      <w:marBottom w:val="0"/>
      <w:divBdr>
        <w:top w:val="none" w:sz="0" w:space="0" w:color="auto"/>
        <w:left w:val="none" w:sz="0" w:space="0" w:color="auto"/>
        <w:bottom w:val="none" w:sz="0" w:space="0" w:color="auto"/>
        <w:right w:val="none" w:sz="0" w:space="0" w:color="auto"/>
      </w:divBdr>
      <w:divsChild>
        <w:div w:id="2122455474">
          <w:marLeft w:val="0"/>
          <w:marRight w:val="0"/>
          <w:marTop w:val="0"/>
          <w:marBottom w:val="0"/>
          <w:divBdr>
            <w:top w:val="none" w:sz="0" w:space="0" w:color="auto"/>
            <w:left w:val="none" w:sz="0" w:space="0" w:color="auto"/>
            <w:bottom w:val="none" w:sz="0" w:space="0" w:color="auto"/>
            <w:right w:val="none" w:sz="0" w:space="0" w:color="auto"/>
          </w:divBdr>
        </w:div>
      </w:divsChild>
    </w:div>
    <w:div w:id="1199513136">
      <w:bodyDiv w:val="1"/>
      <w:marLeft w:val="0"/>
      <w:marRight w:val="0"/>
      <w:marTop w:val="0"/>
      <w:marBottom w:val="0"/>
      <w:divBdr>
        <w:top w:val="none" w:sz="0" w:space="0" w:color="auto"/>
        <w:left w:val="none" w:sz="0" w:space="0" w:color="auto"/>
        <w:bottom w:val="none" w:sz="0" w:space="0" w:color="auto"/>
        <w:right w:val="none" w:sz="0" w:space="0" w:color="auto"/>
      </w:divBdr>
    </w:div>
    <w:div w:id="1217280142">
      <w:bodyDiv w:val="1"/>
      <w:marLeft w:val="0"/>
      <w:marRight w:val="0"/>
      <w:marTop w:val="0"/>
      <w:marBottom w:val="0"/>
      <w:divBdr>
        <w:top w:val="none" w:sz="0" w:space="0" w:color="auto"/>
        <w:left w:val="none" w:sz="0" w:space="0" w:color="auto"/>
        <w:bottom w:val="none" w:sz="0" w:space="0" w:color="auto"/>
        <w:right w:val="none" w:sz="0" w:space="0" w:color="auto"/>
      </w:divBdr>
    </w:div>
    <w:div w:id="1261260561">
      <w:bodyDiv w:val="1"/>
      <w:marLeft w:val="0"/>
      <w:marRight w:val="0"/>
      <w:marTop w:val="0"/>
      <w:marBottom w:val="0"/>
      <w:divBdr>
        <w:top w:val="none" w:sz="0" w:space="0" w:color="auto"/>
        <w:left w:val="none" w:sz="0" w:space="0" w:color="auto"/>
        <w:bottom w:val="none" w:sz="0" w:space="0" w:color="auto"/>
        <w:right w:val="none" w:sz="0" w:space="0" w:color="auto"/>
      </w:divBdr>
      <w:divsChild>
        <w:div w:id="1202743208">
          <w:marLeft w:val="0"/>
          <w:marRight w:val="0"/>
          <w:marTop w:val="0"/>
          <w:marBottom w:val="0"/>
          <w:divBdr>
            <w:top w:val="none" w:sz="0" w:space="0" w:color="auto"/>
            <w:left w:val="none" w:sz="0" w:space="0" w:color="auto"/>
            <w:bottom w:val="none" w:sz="0" w:space="0" w:color="auto"/>
            <w:right w:val="none" w:sz="0" w:space="0" w:color="auto"/>
          </w:divBdr>
        </w:div>
      </w:divsChild>
    </w:div>
    <w:div w:id="1288505398">
      <w:bodyDiv w:val="1"/>
      <w:marLeft w:val="0"/>
      <w:marRight w:val="0"/>
      <w:marTop w:val="0"/>
      <w:marBottom w:val="0"/>
      <w:divBdr>
        <w:top w:val="none" w:sz="0" w:space="0" w:color="auto"/>
        <w:left w:val="none" w:sz="0" w:space="0" w:color="auto"/>
        <w:bottom w:val="none" w:sz="0" w:space="0" w:color="auto"/>
        <w:right w:val="none" w:sz="0" w:space="0" w:color="auto"/>
      </w:divBdr>
      <w:divsChild>
        <w:div w:id="152109291">
          <w:marLeft w:val="0"/>
          <w:marRight w:val="0"/>
          <w:marTop w:val="0"/>
          <w:marBottom w:val="0"/>
          <w:divBdr>
            <w:top w:val="none" w:sz="0" w:space="0" w:color="auto"/>
            <w:left w:val="none" w:sz="0" w:space="0" w:color="auto"/>
            <w:bottom w:val="none" w:sz="0" w:space="0" w:color="auto"/>
            <w:right w:val="none" w:sz="0" w:space="0" w:color="auto"/>
          </w:divBdr>
        </w:div>
      </w:divsChild>
    </w:div>
    <w:div w:id="1290207657">
      <w:bodyDiv w:val="1"/>
      <w:marLeft w:val="0"/>
      <w:marRight w:val="0"/>
      <w:marTop w:val="0"/>
      <w:marBottom w:val="0"/>
      <w:divBdr>
        <w:top w:val="none" w:sz="0" w:space="0" w:color="auto"/>
        <w:left w:val="none" w:sz="0" w:space="0" w:color="auto"/>
        <w:bottom w:val="none" w:sz="0" w:space="0" w:color="auto"/>
        <w:right w:val="none" w:sz="0" w:space="0" w:color="auto"/>
      </w:divBdr>
    </w:div>
    <w:div w:id="1477913770">
      <w:bodyDiv w:val="1"/>
      <w:marLeft w:val="0"/>
      <w:marRight w:val="0"/>
      <w:marTop w:val="0"/>
      <w:marBottom w:val="0"/>
      <w:divBdr>
        <w:top w:val="none" w:sz="0" w:space="0" w:color="auto"/>
        <w:left w:val="none" w:sz="0" w:space="0" w:color="auto"/>
        <w:bottom w:val="none" w:sz="0" w:space="0" w:color="auto"/>
        <w:right w:val="none" w:sz="0" w:space="0" w:color="auto"/>
      </w:divBdr>
    </w:div>
    <w:div w:id="1489127168">
      <w:bodyDiv w:val="1"/>
      <w:marLeft w:val="0"/>
      <w:marRight w:val="0"/>
      <w:marTop w:val="0"/>
      <w:marBottom w:val="0"/>
      <w:divBdr>
        <w:top w:val="none" w:sz="0" w:space="0" w:color="auto"/>
        <w:left w:val="none" w:sz="0" w:space="0" w:color="auto"/>
        <w:bottom w:val="none" w:sz="0" w:space="0" w:color="auto"/>
        <w:right w:val="none" w:sz="0" w:space="0" w:color="auto"/>
      </w:divBdr>
    </w:div>
    <w:div w:id="1514952042">
      <w:bodyDiv w:val="1"/>
      <w:marLeft w:val="0"/>
      <w:marRight w:val="0"/>
      <w:marTop w:val="0"/>
      <w:marBottom w:val="0"/>
      <w:divBdr>
        <w:top w:val="none" w:sz="0" w:space="0" w:color="auto"/>
        <w:left w:val="none" w:sz="0" w:space="0" w:color="auto"/>
        <w:bottom w:val="none" w:sz="0" w:space="0" w:color="auto"/>
        <w:right w:val="none" w:sz="0" w:space="0" w:color="auto"/>
      </w:divBdr>
    </w:div>
    <w:div w:id="1618103171">
      <w:bodyDiv w:val="1"/>
      <w:marLeft w:val="0"/>
      <w:marRight w:val="0"/>
      <w:marTop w:val="0"/>
      <w:marBottom w:val="0"/>
      <w:divBdr>
        <w:top w:val="none" w:sz="0" w:space="0" w:color="auto"/>
        <w:left w:val="none" w:sz="0" w:space="0" w:color="auto"/>
        <w:bottom w:val="none" w:sz="0" w:space="0" w:color="auto"/>
        <w:right w:val="none" w:sz="0" w:space="0" w:color="auto"/>
      </w:divBdr>
    </w:div>
    <w:div w:id="1648052166">
      <w:bodyDiv w:val="1"/>
      <w:marLeft w:val="0"/>
      <w:marRight w:val="0"/>
      <w:marTop w:val="0"/>
      <w:marBottom w:val="0"/>
      <w:divBdr>
        <w:top w:val="none" w:sz="0" w:space="0" w:color="auto"/>
        <w:left w:val="none" w:sz="0" w:space="0" w:color="auto"/>
        <w:bottom w:val="none" w:sz="0" w:space="0" w:color="auto"/>
        <w:right w:val="none" w:sz="0" w:space="0" w:color="auto"/>
      </w:divBdr>
    </w:div>
    <w:div w:id="1751154606">
      <w:bodyDiv w:val="1"/>
      <w:marLeft w:val="0"/>
      <w:marRight w:val="0"/>
      <w:marTop w:val="0"/>
      <w:marBottom w:val="0"/>
      <w:divBdr>
        <w:top w:val="none" w:sz="0" w:space="0" w:color="auto"/>
        <w:left w:val="none" w:sz="0" w:space="0" w:color="auto"/>
        <w:bottom w:val="none" w:sz="0" w:space="0" w:color="auto"/>
        <w:right w:val="none" w:sz="0" w:space="0" w:color="auto"/>
      </w:divBdr>
    </w:div>
    <w:div w:id="1792020063">
      <w:bodyDiv w:val="1"/>
      <w:marLeft w:val="0"/>
      <w:marRight w:val="0"/>
      <w:marTop w:val="0"/>
      <w:marBottom w:val="0"/>
      <w:divBdr>
        <w:top w:val="none" w:sz="0" w:space="0" w:color="auto"/>
        <w:left w:val="none" w:sz="0" w:space="0" w:color="auto"/>
        <w:bottom w:val="none" w:sz="0" w:space="0" w:color="auto"/>
        <w:right w:val="none" w:sz="0" w:space="0" w:color="auto"/>
      </w:divBdr>
    </w:div>
    <w:div w:id="1799061217">
      <w:bodyDiv w:val="1"/>
      <w:marLeft w:val="0"/>
      <w:marRight w:val="0"/>
      <w:marTop w:val="0"/>
      <w:marBottom w:val="0"/>
      <w:divBdr>
        <w:top w:val="none" w:sz="0" w:space="0" w:color="auto"/>
        <w:left w:val="none" w:sz="0" w:space="0" w:color="auto"/>
        <w:bottom w:val="none" w:sz="0" w:space="0" w:color="auto"/>
        <w:right w:val="none" w:sz="0" w:space="0" w:color="auto"/>
      </w:divBdr>
    </w:div>
    <w:div w:id="1941600811">
      <w:bodyDiv w:val="1"/>
      <w:marLeft w:val="0"/>
      <w:marRight w:val="0"/>
      <w:marTop w:val="0"/>
      <w:marBottom w:val="0"/>
      <w:divBdr>
        <w:top w:val="none" w:sz="0" w:space="0" w:color="auto"/>
        <w:left w:val="none" w:sz="0" w:space="0" w:color="auto"/>
        <w:bottom w:val="none" w:sz="0" w:space="0" w:color="auto"/>
        <w:right w:val="none" w:sz="0" w:space="0" w:color="auto"/>
      </w:divBdr>
      <w:divsChild>
        <w:div w:id="1567571882">
          <w:marLeft w:val="0"/>
          <w:marRight w:val="0"/>
          <w:marTop w:val="0"/>
          <w:marBottom w:val="0"/>
          <w:divBdr>
            <w:top w:val="none" w:sz="0" w:space="0" w:color="auto"/>
            <w:left w:val="none" w:sz="0" w:space="0" w:color="auto"/>
            <w:bottom w:val="none" w:sz="0" w:space="0" w:color="auto"/>
            <w:right w:val="none" w:sz="0" w:space="0" w:color="auto"/>
          </w:divBdr>
          <w:divsChild>
            <w:div w:id="211886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14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ommission.europa.eu/energy-climate-change-environment/implementation-eu-countries/energy-and-climate-governance-and-reporting/national-energy-and-climate-plans_en" TargetMode="External"/><Relationship Id="rId18" Type="http://schemas.openxmlformats.org/officeDocument/2006/relationships/hyperlink" Target="https://www.idae.es/noticias/beneficios-fiscales-en-el-irpf-para-la-implantacion-de-energias-renovables-termica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miteco.gob.es/es/prensa/ultimas-noticias/2024/septiembre/el-gobierno-aprueba-la-actualizacion-del-plan-nacional-integrado.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planderecuperacion.gob.es/noticias/conoce-ayudas-proyectos-piloto-singulares-comunidades-energeticas-2024-prtr"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enercom.com/actuacion/praast-programas-de-ayudas-para-energias-renovables-en-autoconsumo-almacenamiento-y-sistemas-termicos/" TargetMode="External"/><Relationship Id="rId20" Type="http://schemas.openxmlformats.org/officeDocument/2006/relationships/hyperlink" Target="https://www.boe.es/eli/es/l/2013/12/26/24/c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senda.green/subvenciones-para-comunidades-energeticas-en-espana/" TargetMode="External"/><Relationship Id="rId5" Type="http://schemas.openxmlformats.org/officeDocument/2006/relationships/numbering" Target="numbering.xml"/><Relationship Id="rId15" Type="http://schemas.openxmlformats.org/officeDocument/2006/relationships/hyperlink" Target="https://aeeolica.org/real-decreto-900-2015-de-9-de-octubre-por-el-que-se-regulan-las-condiciones-administrativas-tecnicas-y-economicas-de-las-modalidades-de-suministro-de-energia-electrica-con-autoconsumo-y-de-produccion/" TargetMode="External"/><Relationship Id="rId23" Type="http://schemas.openxmlformats.org/officeDocument/2006/relationships/hyperlink" Target="https://www.boe.es/eli/es/rdl/2018/10/05/15" TargetMode="External"/><Relationship Id="rId10" Type="http://schemas.openxmlformats.org/officeDocument/2006/relationships/endnotes" Target="endnotes.xml"/><Relationship Id="rId19" Type="http://schemas.openxmlformats.org/officeDocument/2006/relationships/hyperlink" Target="https://www.boe.es/eli/es/l/2022/06/14/1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udublin.sharepoint.com/:p:/r/sites/FITTER/Shared%20Documents/General/WP2-%20Conceptual%20framework%20and%20methodology/T2.1%20Just%20transition%20definition%20and%20research%20design/Step%20by%20step%20guide/Workshop%20on%20methodolgical%20steps%20and%20conceptual%20framework%20steps.pptx?d=w55a5e9f8557c42aa8658f7df37b01eba&amp;csf=1&amp;web=1&amp;e=fhC7xX" TargetMode="External"/><Relationship Id="rId22" Type="http://schemas.openxmlformats.org/officeDocument/2006/relationships/hyperlink" Target="https://www.boe.es/eli/es/rd/2015/10/09/900/c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4f9379-904b-4e02-8419-bc1c49837b01">
      <Terms xmlns="http://schemas.microsoft.com/office/infopath/2007/PartnerControls"/>
    </lcf76f155ced4ddcb4097134ff3c332f>
    <TaxCatchAll xmlns="56145e21-d5c7-4e67-930c-a471c41d34d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E3F7F3937D462408F6C2B3DEC14A540" ma:contentTypeVersion="14" ma:contentTypeDescription="Crear nuevo documento." ma:contentTypeScope="" ma:versionID="b9109167342ae0231fa1713aa13d8f0f">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c9afff24e1cfef883e865b4a14f3bc3a"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DF4D3-EFC7-41E6-AEF8-49BA31E8A4EA}">
  <ds:schemaRefs>
    <ds:schemaRef ds:uri="http://schemas.microsoft.com/office/2006/metadata/properties"/>
    <ds:schemaRef ds:uri="http://schemas.microsoft.com/office/infopath/2007/PartnerControls"/>
    <ds:schemaRef ds:uri="e74f9379-904b-4e02-8419-bc1c49837b01"/>
    <ds:schemaRef ds:uri="56145e21-d5c7-4e67-930c-a471c41d34d5"/>
  </ds:schemaRefs>
</ds:datastoreItem>
</file>

<file path=customXml/itemProps2.xml><?xml version="1.0" encoding="utf-8"?>
<ds:datastoreItem xmlns:ds="http://schemas.openxmlformats.org/officeDocument/2006/customXml" ds:itemID="{F6743442-0BA3-44C1-8047-06E0C4D1B7DE}"/>
</file>

<file path=customXml/itemProps3.xml><?xml version="1.0" encoding="utf-8"?>
<ds:datastoreItem xmlns:ds="http://schemas.openxmlformats.org/officeDocument/2006/customXml" ds:itemID="{69A4BE23-5D80-4473-B574-3AF283384FE7}">
  <ds:schemaRefs>
    <ds:schemaRef ds:uri="http://schemas.microsoft.com/sharepoint/v3/contenttype/forms"/>
  </ds:schemaRefs>
</ds:datastoreItem>
</file>

<file path=customXml/itemProps4.xml><?xml version="1.0" encoding="utf-8"?>
<ds:datastoreItem xmlns:ds="http://schemas.openxmlformats.org/officeDocument/2006/customXml" ds:itemID="{C43AD3C2-C6F8-47D7-8A40-EDFB6330B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Pages>
  <Words>2958</Words>
  <Characters>16270</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Alicja Bobek</dc:creator>
  <cp:keywords/>
  <dc:description/>
  <cp:lastModifiedBy>Paloma Piqueiras</cp:lastModifiedBy>
  <cp:revision>15</cp:revision>
  <dcterms:created xsi:type="dcterms:W3CDTF">2025-03-18T16:09:00Z</dcterms:created>
  <dcterms:modified xsi:type="dcterms:W3CDTF">2025-03-26T16:03:00Z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ies>
</file>