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39E11" w14:textId="77777777" w:rsidR="00BE0E57" w:rsidRDefault="00BE0E57"/>
    <w:p w14:paraId="23C3B40A" w14:textId="77777777" w:rsidR="00BE0E57" w:rsidRDefault="00BE0E57"/>
    <w:p w14:paraId="25DEB083" w14:textId="77777777" w:rsidR="00BE0E57" w:rsidRDefault="00000000">
      <w:pPr>
        <w:jc w:val="center"/>
      </w:pPr>
      <w:r>
        <w:rPr>
          <w:noProof/>
        </w:rPr>
        <w:drawing>
          <wp:inline distT="0" distB="0" distL="0" distR="0" wp14:anchorId="171D84C3" wp14:editId="627ADF0A">
            <wp:extent cx="2020828" cy="1335027"/>
            <wp:effectExtent l="0" t="0" r="0" b="0"/>
            <wp:docPr id="240460732" name="image1.png" descr="A logo with colorful circle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colorful circles and letters&#10;&#10;Description automatically generated"/>
                    <pic:cNvPicPr preferRelativeResize="0"/>
                  </pic:nvPicPr>
                  <pic:blipFill>
                    <a:blip r:embed="rId8"/>
                    <a:srcRect/>
                    <a:stretch>
                      <a:fillRect/>
                    </a:stretch>
                  </pic:blipFill>
                  <pic:spPr>
                    <a:xfrm>
                      <a:off x="0" y="0"/>
                      <a:ext cx="2020828" cy="1335027"/>
                    </a:xfrm>
                    <a:prstGeom prst="rect">
                      <a:avLst/>
                    </a:prstGeom>
                    <a:ln/>
                  </pic:spPr>
                </pic:pic>
              </a:graphicData>
            </a:graphic>
          </wp:inline>
        </w:drawing>
      </w:r>
    </w:p>
    <w:p w14:paraId="6B265300" w14:textId="77777777" w:rsidR="00BE0E57" w:rsidRDefault="00BE0E57"/>
    <w:p w14:paraId="384B16CB" w14:textId="77777777" w:rsidR="00BE0E57" w:rsidRDefault="00BE0E57"/>
    <w:p w14:paraId="33B643E3" w14:textId="77777777" w:rsidR="00BE0E57" w:rsidRDefault="00BE0E57"/>
    <w:p w14:paraId="13D90337" w14:textId="77777777" w:rsidR="00BE0E57" w:rsidRDefault="00BE0E57"/>
    <w:p w14:paraId="075CFE6B" w14:textId="77777777" w:rsidR="00BE0E57" w:rsidRDefault="00BE0E57"/>
    <w:p w14:paraId="15991382" w14:textId="77777777" w:rsidR="00BE0E57" w:rsidRDefault="00BE0E57"/>
    <w:p w14:paraId="2C8E2464" w14:textId="77777777" w:rsidR="00BE0E57" w:rsidRDefault="00000000">
      <w:pPr>
        <w:pBdr>
          <w:top w:val="nil"/>
          <w:left w:val="nil"/>
          <w:bottom w:val="nil"/>
          <w:right w:val="nil"/>
          <w:between w:val="nil"/>
        </w:pBdr>
        <w:tabs>
          <w:tab w:val="left" w:pos="9090"/>
        </w:tabs>
        <w:spacing w:line="240" w:lineRule="auto"/>
        <w:ind w:left="-90" w:right="-18"/>
        <w:jc w:val="center"/>
        <w:rPr>
          <w:b/>
          <w:color w:val="1F3864"/>
          <w:sz w:val="52"/>
          <w:szCs w:val="52"/>
        </w:rPr>
      </w:pPr>
      <w:r>
        <w:rPr>
          <w:b/>
          <w:color w:val="1F3864"/>
          <w:sz w:val="52"/>
          <w:szCs w:val="52"/>
        </w:rPr>
        <w:t>T 3.1a Policy-making context in two national sectors</w:t>
      </w:r>
    </w:p>
    <w:p w14:paraId="6416D2B6" w14:textId="77777777" w:rsidR="00BE0E57" w:rsidRDefault="00000000">
      <w:pPr>
        <w:pStyle w:val="Subtitle"/>
        <w:ind w:right="369"/>
        <w:jc w:val="center"/>
        <w:rPr>
          <w:color w:val="843C0B"/>
        </w:rPr>
      </w:pPr>
      <w:r>
        <w:rPr>
          <w:color w:val="843C0B"/>
        </w:rPr>
        <w:t>[Hungary]</w:t>
      </w:r>
    </w:p>
    <w:p w14:paraId="5A9E8DC5" w14:textId="77777777" w:rsidR="00BE0E57" w:rsidRDefault="00000000">
      <w:pPr>
        <w:tabs>
          <w:tab w:val="center" w:pos="4680"/>
          <w:tab w:val="right" w:pos="9360"/>
          <w:tab w:val="center" w:pos="4819"/>
          <w:tab w:val="right" w:pos="9720"/>
        </w:tabs>
        <w:ind w:left="-90" w:right="-41"/>
        <w:jc w:val="center"/>
      </w:pPr>
      <w:r>
        <w:t>Kitti Kerekes, Bence Juhasz, SFC</w:t>
      </w:r>
    </w:p>
    <w:p w14:paraId="0FB1AFDC" w14:textId="77777777" w:rsidR="00BE0E57" w:rsidRDefault="00BE0E57"/>
    <w:p w14:paraId="2EB456FA" w14:textId="77777777" w:rsidR="00BE0E57" w:rsidRDefault="00BE0E57"/>
    <w:p w14:paraId="5779764E" w14:textId="77777777" w:rsidR="00BE0E57" w:rsidRDefault="00BE0E57"/>
    <w:p w14:paraId="69BC8518" w14:textId="77777777" w:rsidR="00BE0E57" w:rsidRDefault="00BE0E57"/>
    <w:p w14:paraId="004AE61B" w14:textId="77777777" w:rsidR="00BE0E57" w:rsidRDefault="00BE0E57">
      <w:pPr>
        <w:rPr>
          <w:color w:val="002060"/>
        </w:rPr>
      </w:pPr>
    </w:p>
    <w:p w14:paraId="546A3B00" w14:textId="77777777" w:rsidR="00BE0E57" w:rsidRDefault="00000000">
      <w:pPr>
        <w:rPr>
          <w:color w:val="002060"/>
          <w:sz w:val="18"/>
          <w:szCs w:val="18"/>
        </w:rPr>
      </w:pPr>
      <w:r>
        <w:rPr>
          <w:noProof/>
          <w:sz w:val="18"/>
          <w:szCs w:val="18"/>
        </w:rPr>
        <w:drawing>
          <wp:anchor distT="0" distB="0" distL="114300" distR="114300" simplePos="0" relativeHeight="251659264" behindDoc="0" locked="0" layoutInCell="1" hidden="0" allowOverlap="1" wp14:anchorId="388491BC" wp14:editId="50D7BAA1">
            <wp:simplePos x="0" y="0"/>
            <wp:positionH relativeFrom="margin">
              <wp:posOffset>-101599</wp:posOffset>
            </wp:positionH>
            <wp:positionV relativeFrom="margin">
              <wp:posOffset>7875905</wp:posOffset>
            </wp:positionV>
            <wp:extent cx="3035300" cy="698500"/>
            <wp:effectExtent l="0" t="0" r="0" b="0"/>
            <wp:wrapSquare wrapText="bothSides" distT="0" distB="0" distL="114300" distR="114300"/>
            <wp:docPr id="240460731" name="image2.png" descr="изтеглен файл (1).png"/>
            <wp:cNvGraphicFramePr/>
            <a:graphic xmlns:a="http://schemas.openxmlformats.org/drawingml/2006/main">
              <a:graphicData uri="http://schemas.openxmlformats.org/drawingml/2006/picture">
                <pic:pic xmlns:pic="http://schemas.openxmlformats.org/drawingml/2006/picture">
                  <pic:nvPicPr>
                    <pic:cNvPr id="0" name="image2.png" descr="изтеглен файл (1).png"/>
                    <pic:cNvPicPr preferRelativeResize="0"/>
                  </pic:nvPicPr>
                  <pic:blipFill>
                    <a:blip r:embed="rId9"/>
                    <a:srcRect/>
                    <a:stretch>
                      <a:fillRect/>
                    </a:stretch>
                  </pic:blipFill>
                  <pic:spPr>
                    <a:xfrm>
                      <a:off x="0" y="0"/>
                      <a:ext cx="3035300" cy="698500"/>
                    </a:xfrm>
                    <a:prstGeom prst="rect">
                      <a:avLst/>
                    </a:prstGeom>
                    <a:ln/>
                  </pic:spPr>
                </pic:pic>
              </a:graphicData>
            </a:graphic>
          </wp:anchor>
        </w:drawing>
      </w:r>
    </w:p>
    <w:p w14:paraId="0A665AC0" w14:textId="77777777" w:rsidR="00BE0E57" w:rsidRDefault="00000000">
      <w:pPr>
        <w:rPr>
          <w:color w:val="002060"/>
        </w:rPr>
      </w:pPr>
      <w:r>
        <w:rPr>
          <w:color w:val="002060"/>
          <w:sz w:val="18"/>
          <w:szCs w:val="18"/>
        </w:rPr>
        <w:t>Views and opinions expressed are however those of the author(s) only and do not necessarily reflect those of the European Union or [name of the granting authority]. Neither the European Union nor the granting authority can be held responsible for them</w:t>
      </w:r>
      <w:r>
        <w:rPr>
          <w:color w:val="002060"/>
        </w:rPr>
        <w:t>.</w:t>
      </w:r>
    </w:p>
    <w:p w14:paraId="13B44142" w14:textId="77777777" w:rsidR="00BE0E57" w:rsidRDefault="00BE0E57"/>
    <w:p w14:paraId="6BEC2B13" w14:textId="77777777" w:rsidR="00B966BF" w:rsidRDefault="00B966BF"/>
    <w:p w14:paraId="73DCDC17" w14:textId="77777777" w:rsidR="00B966BF" w:rsidRDefault="00B966BF"/>
    <w:tbl>
      <w:tblPr>
        <w:tblStyle w:val="a"/>
        <w:tblW w:w="9876"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3"/>
        <w:gridCol w:w="2451"/>
        <w:gridCol w:w="2451"/>
        <w:gridCol w:w="2451"/>
      </w:tblGrid>
      <w:tr w:rsidR="00BE0E57" w14:paraId="5957EB44" w14:textId="77777777" w:rsidTr="00BE0E57">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76" w:type="dxa"/>
            <w:gridSpan w:val="4"/>
            <w:tcBorders>
              <w:bottom w:val="single" w:sz="4" w:space="0" w:color="000000"/>
            </w:tcBorders>
            <w:shd w:val="clear" w:color="auto" w:fill="1F3864"/>
            <w:vAlign w:val="center"/>
          </w:tcPr>
          <w:p w14:paraId="05383BB9" w14:textId="7AF46586" w:rsidR="00BE0E57" w:rsidRPr="00B966BF" w:rsidRDefault="00000000" w:rsidP="00B966BF">
            <w:pPr>
              <w:jc w:val="center"/>
              <w:rPr>
                <w:b w:val="0"/>
                <w:sz w:val="20"/>
                <w:szCs w:val="20"/>
              </w:rPr>
            </w:pPr>
            <w:r>
              <w:rPr>
                <w:sz w:val="20"/>
                <w:szCs w:val="20"/>
              </w:rPr>
              <w:lastRenderedPageBreak/>
              <w:t>REVISION HISTORY</w:t>
            </w:r>
          </w:p>
        </w:tc>
      </w:tr>
      <w:tr w:rsidR="00BE0E57" w14:paraId="2C0F368F" w14:textId="77777777" w:rsidTr="00BE0E57">
        <w:trPr>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single" w:sz="4" w:space="0" w:color="000000"/>
              <w:left w:val="single" w:sz="4" w:space="0" w:color="000000"/>
              <w:bottom w:val="single" w:sz="4" w:space="0" w:color="000000"/>
            </w:tcBorders>
            <w:shd w:val="clear" w:color="auto" w:fill="C9DAF8"/>
          </w:tcPr>
          <w:p w14:paraId="1CE97F59" w14:textId="77777777" w:rsidR="00BE0E57" w:rsidRDefault="00000000">
            <w:pPr>
              <w:rPr>
                <w:sz w:val="20"/>
                <w:szCs w:val="20"/>
              </w:rPr>
            </w:pPr>
            <w:r>
              <w:rPr>
                <w:color w:val="000000"/>
                <w:sz w:val="20"/>
                <w:szCs w:val="20"/>
              </w:rPr>
              <w:t>Version </w:t>
            </w:r>
          </w:p>
        </w:tc>
        <w:tc>
          <w:tcPr>
            <w:tcW w:w="2451" w:type="dxa"/>
            <w:tcBorders>
              <w:top w:val="single" w:sz="4" w:space="0" w:color="000000"/>
              <w:bottom w:val="single" w:sz="4" w:space="0" w:color="000000"/>
            </w:tcBorders>
            <w:shd w:val="clear" w:color="auto" w:fill="C9DAF8"/>
          </w:tcPr>
          <w:p w14:paraId="44C74589"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b/>
                <w:color w:val="000000"/>
                <w:sz w:val="20"/>
                <w:szCs w:val="20"/>
              </w:rPr>
              <w:t>Date</w:t>
            </w:r>
            <w:r>
              <w:rPr>
                <w:color w:val="000000"/>
                <w:sz w:val="20"/>
                <w:szCs w:val="20"/>
              </w:rPr>
              <w:t> </w:t>
            </w:r>
          </w:p>
        </w:tc>
        <w:tc>
          <w:tcPr>
            <w:tcW w:w="2451" w:type="dxa"/>
            <w:tcBorders>
              <w:top w:val="single" w:sz="4" w:space="0" w:color="000000"/>
              <w:bottom w:val="single" w:sz="4" w:space="0" w:color="000000"/>
            </w:tcBorders>
            <w:shd w:val="clear" w:color="auto" w:fill="C9DAF8"/>
          </w:tcPr>
          <w:p w14:paraId="2BC36832"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b/>
                <w:color w:val="000000"/>
                <w:sz w:val="20"/>
                <w:szCs w:val="20"/>
              </w:rPr>
              <w:t>Modified by</w:t>
            </w:r>
            <w:r>
              <w:rPr>
                <w:color w:val="000000"/>
                <w:sz w:val="20"/>
                <w:szCs w:val="20"/>
              </w:rPr>
              <w:t> </w:t>
            </w:r>
          </w:p>
        </w:tc>
        <w:tc>
          <w:tcPr>
            <w:tcW w:w="2451" w:type="dxa"/>
            <w:tcBorders>
              <w:top w:val="single" w:sz="4" w:space="0" w:color="000000"/>
              <w:bottom w:val="single" w:sz="4" w:space="0" w:color="000000"/>
              <w:right w:val="single" w:sz="4" w:space="0" w:color="000000"/>
            </w:tcBorders>
            <w:shd w:val="clear" w:color="auto" w:fill="C9DAF8"/>
          </w:tcPr>
          <w:p w14:paraId="02810E53"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b/>
                <w:color w:val="000000"/>
                <w:sz w:val="20"/>
                <w:szCs w:val="20"/>
              </w:rPr>
              <w:t>Comments</w:t>
            </w:r>
            <w:r>
              <w:rPr>
                <w:color w:val="000000"/>
                <w:sz w:val="20"/>
                <w:szCs w:val="20"/>
              </w:rPr>
              <w:t> </w:t>
            </w:r>
          </w:p>
        </w:tc>
      </w:tr>
      <w:tr w:rsidR="00BE0E57" w14:paraId="3E580224" w14:textId="77777777" w:rsidTr="00BE0E57">
        <w:trPr>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single" w:sz="4" w:space="0" w:color="000000"/>
              <w:bottom w:val="single" w:sz="4" w:space="0" w:color="000000"/>
            </w:tcBorders>
            <w:shd w:val="clear" w:color="auto" w:fill="C9DAF8"/>
          </w:tcPr>
          <w:p w14:paraId="5EACCC77" w14:textId="77777777" w:rsidR="00BE0E57" w:rsidRDefault="00000000">
            <w:pPr>
              <w:rPr>
                <w:sz w:val="20"/>
                <w:szCs w:val="20"/>
              </w:rPr>
            </w:pPr>
            <w:r>
              <w:rPr>
                <w:color w:val="000000"/>
                <w:sz w:val="20"/>
                <w:szCs w:val="20"/>
              </w:rPr>
              <w:t>  v0</w:t>
            </w:r>
            <w:r>
              <w:rPr>
                <w:sz w:val="20"/>
                <w:szCs w:val="20"/>
              </w:rPr>
              <w:t>.1</w:t>
            </w:r>
          </w:p>
        </w:tc>
        <w:tc>
          <w:tcPr>
            <w:tcW w:w="2451" w:type="dxa"/>
            <w:tcBorders>
              <w:top w:val="single" w:sz="4" w:space="0" w:color="000000"/>
              <w:bottom w:val="single" w:sz="4" w:space="0" w:color="000000"/>
            </w:tcBorders>
            <w:shd w:val="clear" w:color="auto" w:fill="C9DAF8"/>
          </w:tcPr>
          <w:p w14:paraId="262CCAC6"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21/10/2024</w:t>
            </w:r>
          </w:p>
        </w:tc>
        <w:tc>
          <w:tcPr>
            <w:tcW w:w="2451" w:type="dxa"/>
            <w:tcBorders>
              <w:top w:val="single" w:sz="4" w:space="0" w:color="000000"/>
              <w:bottom w:val="single" w:sz="4" w:space="0" w:color="000000"/>
            </w:tcBorders>
            <w:shd w:val="clear" w:color="auto" w:fill="C9DAF8"/>
          </w:tcPr>
          <w:p w14:paraId="1F6BC3BB"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Kitti Kerekes</w:t>
            </w:r>
          </w:p>
        </w:tc>
        <w:tc>
          <w:tcPr>
            <w:tcW w:w="2451" w:type="dxa"/>
            <w:tcBorders>
              <w:top w:val="single" w:sz="4" w:space="0" w:color="000000"/>
              <w:bottom w:val="single" w:sz="4" w:space="0" w:color="000000"/>
            </w:tcBorders>
            <w:shd w:val="clear" w:color="auto" w:fill="C9DAF8"/>
          </w:tcPr>
          <w:p w14:paraId="0440A073"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Working on section 1</w:t>
            </w:r>
          </w:p>
        </w:tc>
      </w:tr>
      <w:tr w:rsidR="00BE0E57" w14:paraId="215C138E" w14:textId="77777777" w:rsidTr="00BE0E57">
        <w:trPr>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single" w:sz="4" w:space="0" w:color="000000"/>
              <w:left w:val="single" w:sz="4" w:space="0" w:color="000000"/>
              <w:bottom w:val="single" w:sz="4" w:space="0" w:color="000000"/>
            </w:tcBorders>
            <w:shd w:val="clear" w:color="auto" w:fill="C9DAF8"/>
          </w:tcPr>
          <w:p w14:paraId="5156F8EB" w14:textId="77777777" w:rsidR="00BE0E57" w:rsidRDefault="00000000">
            <w:pPr>
              <w:rPr>
                <w:sz w:val="20"/>
                <w:szCs w:val="20"/>
              </w:rPr>
            </w:pPr>
            <w:r>
              <w:rPr>
                <w:color w:val="000000"/>
                <w:sz w:val="20"/>
                <w:szCs w:val="20"/>
              </w:rPr>
              <w:t>  </w:t>
            </w:r>
            <w:r>
              <w:rPr>
                <w:sz w:val="20"/>
                <w:szCs w:val="20"/>
              </w:rPr>
              <w:t>v0.2</w:t>
            </w:r>
          </w:p>
        </w:tc>
        <w:tc>
          <w:tcPr>
            <w:tcW w:w="2451" w:type="dxa"/>
            <w:tcBorders>
              <w:top w:val="single" w:sz="4" w:space="0" w:color="000000"/>
              <w:bottom w:val="single" w:sz="4" w:space="0" w:color="000000"/>
            </w:tcBorders>
            <w:shd w:val="clear" w:color="auto" w:fill="C9DAF8"/>
          </w:tcPr>
          <w:p w14:paraId="1098210C"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 31/10/2024 </w:t>
            </w:r>
          </w:p>
        </w:tc>
        <w:tc>
          <w:tcPr>
            <w:tcW w:w="2451" w:type="dxa"/>
            <w:tcBorders>
              <w:top w:val="single" w:sz="4" w:space="0" w:color="000000"/>
              <w:bottom w:val="single" w:sz="4" w:space="0" w:color="000000"/>
            </w:tcBorders>
            <w:shd w:val="clear" w:color="auto" w:fill="C9DAF8"/>
          </w:tcPr>
          <w:p w14:paraId="37387C63"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Kitti Kerekes</w:t>
            </w:r>
            <w:r>
              <w:rPr>
                <w:color w:val="000000"/>
                <w:sz w:val="20"/>
                <w:szCs w:val="20"/>
              </w:rPr>
              <w:t> </w:t>
            </w:r>
          </w:p>
        </w:tc>
        <w:tc>
          <w:tcPr>
            <w:tcW w:w="2451" w:type="dxa"/>
            <w:tcBorders>
              <w:top w:val="single" w:sz="4" w:space="0" w:color="000000"/>
              <w:bottom w:val="single" w:sz="4" w:space="0" w:color="000000"/>
              <w:right w:val="single" w:sz="4" w:space="0" w:color="000000"/>
            </w:tcBorders>
            <w:shd w:val="clear" w:color="auto" w:fill="C9DAF8"/>
          </w:tcPr>
          <w:p w14:paraId="0D08B032"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Recording key points and mapping out the strategic levels (1), analysing NAPs</w:t>
            </w:r>
          </w:p>
        </w:tc>
      </w:tr>
      <w:tr w:rsidR="00BE0E57" w14:paraId="3EBA677F" w14:textId="77777777" w:rsidTr="00BE0E57">
        <w:trPr>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single" w:sz="4" w:space="0" w:color="000000"/>
              <w:bottom w:val="single" w:sz="4" w:space="0" w:color="000000"/>
            </w:tcBorders>
            <w:shd w:val="clear" w:color="auto" w:fill="C9DAF8"/>
          </w:tcPr>
          <w:p w14:paraId="6466FA90" w14:textId="77777777" w:rsidR="00BE0E57" w:rsidRDefault="00000000">
            <w:pPr>
              <w:rPr>
                <w:sz w:val="20"/>
                <w:szCs w:val="20"/>
              </w:rPr>
            </w:pPr>
            <w:r>
              <w:rPr>
                <w:color w:val="000000"/>
                <w:sz w:val="20"/>
                <w:szCs w:val="20"/>
              </w:rPr>
              <w:t>  v0</w:t>
            </w:r>
            <w:r>
              <w:rPr>
                <w:sz w:val="20"/>
                <w:szCs w:val="20"/>
              </w:rPr>
              <w:t>.3</w:t>
            </w:r>
          </w:p>
        </w:tc>
        <w:tc>
          <w:tcPr>
            <w:tcW w:w="2451" w:type="dxa"/>
            <w:tcBorders>
              <w:top w:val="single" w:sz="4" w:space="0" w:color="000000"/>
              <w:bottom w:val="single" w:sz="4" w:space="0" w:color="000000"/>
            </w:tcBorders>
            <w:shd w:val="clear" w:color="auto" w:fill="C9DAF8"/>
          </w:tcPr>
          <w:p w14:paraId="5DA74731"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04/11/2024</w:t>
            </w:r>
          </w:p>
        </w:tc>
        <w:tc>
          <w:tcPr>
            <w:tcW w:w="2451" w:type="dxa"/>
            <w:tcBorders>
              <w:top w:val="single" w:sz="4" w:space="0" w:color="000000"/>
              <w:bottom w:val="single" w:sz="4" w:space="0" w:color="000000"/>
            </w:tcBorders>
            <w:shd w:val="clear" w:color="auto" w:fill="C9DAF8"/>
          </w:tcPr>
          <w:p w14:paraId="75631DAE"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Kitti Kerekes</w:t>
            </w:r>
          </w:p>
        </w:tc>
        <w:tc>
          <w:tcPr>
            <w:tcW w:w="2451" w:type="dxa"/>
            <w:tcBorders>
              <w:top w:val="single" w:sz="4" w:space="0" w:color="000000"/>
              <w:bottom w:val="single" w:sz="4" w:space="0" w:color="000000"/>
            </w:tcBorders>
            <w:shd w:val="clear" w:color="auto" w:fill="C9DAF8"/>
          </w:tcPr>
          <w:p w14:paraId="76769837"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Finalising section 1, combing through section 2</w:t>
            </w:r>
          </w:p>
        </w:tc>
      </w:tr>
      <w:tr w:rsidR="00BE0E57" w14:paraId="3A0D8039" w14:textId="77777777" w:rsidTr="00BE0E57">
        <w:trPr>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single" w:sz="4" w:space="0" w:color="000000"/>
              <w:left w:val="single" w:sz="4" w:space="0" w:color="000000"/>
              <w:bottom w:val="single" w:sz="4" w:space="0" w:color="000000"/>
            </w:tcBorders>
            <w:shd w:val="clear" w:color="auto" w:fill="C9DAF8"/>
          </w:tcPr>
          <w:p w14:paraId="1021542C" w14:textId="77777777" w:rsidR="00BE0E57" w:rsidRDefault="00000000">
            <w:pPr>
              <w:rPr>
                <w:sz w:val="20"/>
                <w:szCs w:val="20"/>
              </w:rPr>
            </w:pPr>
            <w:r>
              <w:rPr>
                <w:color w:val="000000"/>
                <w:sz w:val="20"/>
                <w:szCs w:val="20"/>
              </w:rPr>
              <w:t>  v0.4</w:t>
            </w:r>
          </w:p>
        </w:tc>
        <w:tc>
          <w:tcPr>
            <w:tcW w:w="2451" w:type="dxa"/>
            <w:tcBorders>
              <w:top w:val="single" w:sz="4" w:space="0" w:color="000000"/>
              <w:bottom w:val="single" w:sz="4" w:space="0" w:color="000000"/>
            </w:tcBorders>
            <w:shd w:val="clear" w:color="auto" w:fill="C9DAF8"/>
          </w:tcPr>
          <w:p w14:paraId="69A6D813"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04/11/2024</w:t>
            </w:r>
          </w:p>
        </w:tc>
        <w:tc>
          <w:tcPr>
            <w:tcW w:w="2451" w:type="dxa"/>
            <w:tcBorders>
              <w:top w:val="single" w:sz="4" w:space="0" w:color="000000"/>
              <w:bottom w:val="single" w:sz="4" w:space="0" w:color="000000"/>
            </w:tcBorders>
            <w:shd w:val="clear" w:color="auto" w:fill="C9DAF8"/>
          </w:tcPr>
          <w:p w14:paraId="40BC44AB"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Bence Juhász</w:t>
            </w:r>
          </w:p>
        </w:tc>
        <w:tc>
          <w:tcPr>
            <w:tcW w:w="2451" w:type="dxa"/>
            <w:tcBorders>
              <w:top w:val="single" w:sz="4" w:space="0" w:color="000000"/>
              <w:bottom w:val="single" w:sz="4" w:space="0" w:color="000000"/>
              <w:right w:val="single" w:sz="4" w:space="0" w:color="000000"/>
            </w:tcBorders>
            <w:shd w:val="clear" w:color="auto" w:fill="C9DAF8"/>
          </w:tcPr>
          <w:p w14:paraId="11A31FF4"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Adding cross-sectoral remarks and explanation</w:t>
            </w:r>
          </w:p>
        </w:tc>
      </w:tr>
      <w:tr w:rsidR="00BE0E57" w14:paraId="7AC00862" w14:textId="77777777" w:rsidTr="00BE0E57">
        <w:trPr>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single" w:sz="4" w:space="0" w:color="000000"/>
              <w:left w:val="single" w:sz="4" w:space="0" w:color="000000"/>
              <w:bottom w:val="single" w:sz="4" w:space="0" w:color="000000"/>
            </w:tcBorders>
            <w:shd w:val="clear" w:color="auto" w:fill="C9DAF8"/>
          </w:tcPr>
          <w:p w14:paraId="32FCE778" w14:textId="77777777" w:rsidR="00BE0E57" w:rsidRDefault="00000000">
            <w:pPr>
              <w:rPr>
                <w:color w:val="000000"/>
                <w:sz w:val="20"/>
                <w:szCs w:val="20"/>
              </w:rPr>
            </w:pPr>
            <w:r>
              <w:rPr>
                <w:sz w:val="20"/>
                <w:szCs w:val="20"/>
              </w:rPr>
              <w:t>v0.5</w:t>
            </w:r>
          </w:p>
        </w:tc>
        <w:tc>
          <w:tcPr>
            <w:tcW w:w="2451" w:type="dxa"/>
            <w:tcBorders>
              <w:top w:val="single" w:sz="4" w:space="0" w:color="000000"/>
              <w:bottom w:val="single" w:sz="4" w:space="0" w:color="000000"/>
            </w:tcBorders>
            <w:shd w:val="clear" w:color="auto" w:fill="C9DAF8"/>
          </w:tcPr>
          <w:p w14:paraId="2B48BB7D"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05/11/2024</w:t>
            </w:r>
          </w:p>
        </w:tc>
        <w:tc>
          <w:tcPr>
            <w:tcW w:w="2451" w:type="dxa"/>
            <w:tcBorders>
              <w:top w:val="single" w:sz="4" w:space="0" w:color="000000"/>
              <w:bottom w:val="single" w:sz="4" w:space="0" w:color="000000"/>
            </w:tcBorders>
            <w:shd w:val="clear" w:color="auto" w:fill="C9DAF8"/>
          </w:tcPr>
          <w:p w14:paraId="204D7C89"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Kitti Kerekes</w:t>
            </w:r>
          </w:p>
        </w:tc>
        <w:tc>
          <w:tcPr>
            <w:tcW w:w="2451" w:type="dxa"/>
            <w:tcBorders>
              <w:top w:val="single" w:sz="4" w:space="0" w:color="000000"/>
              <w:bottom w:val="single" w:sz="4" w:space="0" w:color="000000"/>
              <w:right w:val="single" w:sz="4" w:space="0" w:color="000000"/>
            </w:tcBorders>
            <w:shd w:val="clear" w:color="auto" w:fill="C9DAF8"/>
          </w:tcPr>
          <w:p w14:paraId="57AF4A3E" w14:textId="77777777" w:rsidR="00BE0E57"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Recording key points and mapping out the strategic levels (2), analysing NAPs, finalising document</w:t>
            </w:r>
          </w:p>
        </w:tc>
      </w:tr>
    </w:tbl>
    <w:p w14:paraId="340E8BF7" w14:textId="77777777" w:rsidR="00BE0E57" w:rsidRDefault="00BE0E57"/>
    <w:p w14:paraId="2D1C6005" w14:textId="77777777" w:rsidR="00BE0E57" w:rsidRDefault="00000000">
      <w:pPr>
        <w:spacing w:line="240" w:lineRule="auto"/>
        <w:jc w:val="both"/>
        <w:rPr>
          <w:sz w:val="24"/>
          <w:szCs w:val="24"/>
        </w:rPr>
      </w:pPr>
      <w:r>
        <w:rPr>
          <w:sz w:val="24"/>
          <w:szCs w:val="24"/>
        </w:rPr>
        <w:t xml:space="preserve">This analysis is intended to provide an overview of the current state of policymaking in each of the two relevant sectors in the case study country. The purpose of this analysis is to identify the policy options that are critical for understanding the impact of the twin transition process on vulnerable cohorts. </w:t>
      </w:r>
    </w:p>
    <w:p w14:paraId="349C58C3" w14:textId="77777777" w:rsidR="00BE0E57" w:rsidRDefault="00000000">
      <w:pPr>
        <w:rPr>
          <w:b/>
          <w:sz w:val="24"/>
          <w:szCs w:val="24"/>
        </w:rPr>
      </w:pPr>
      <w:bookmarkStart w:id="0" w:name="_heading=h.gjdgxs" w:colFirst="0" w:colLast="0"/>
      <w:bookmarkEnd w:id="0"/>
      <w:r>
        <w:rPr>
          <w:b/>
          <w:sz w:val="24"/>
          <w:szCs w:val="24"/>
        </w:rPr>
        <w:t xml:space="preserve">Distribution of sectors among partners and national case studies: </w:t>
      </w:r>
    </w:p>
    <w:p w14:paraId="6D060C7A" w14:textId="77777777" w:rsidR="00BE0E57" w:rsidRDefault="00000000">
      <w:pPr>
        <w:numPr>
          <w:ilvl w:val="0"/>
          <w:numId w:val="11"/>
        </w:numPr>
        <w:pBdr>
          <w:top w:val="nil"/>
          <w:left w:val="nil"/>
          <w:bottom w:val="nil"/>
          <w:right w:val="nil"/>
          <w:between w:val="nil"/>
        </w:pBdr>
        <w:spacing w:after="0"/>
        <w:rPr>
          <w:color w:val="000000"/>
        </w:rPr>
      </w:pPr>
      <w:bookmarkStart w:id="1" w:name="_heading=h.30j0zll" w:colFirst="0" w:colLast="0"/>
      <w:bookmarkEnd w:id="1"/>
      <w:r>
        <w:rPr>
          <w:b/>
          <w:color w:val="000000"/>
          <w:sz w:val="24"/>
          <w:szCs w:val="24"/>
        </w:rPr>
        <w:t>Energy</w:t>
      </w:r>
      <w:r>
        <w:rPr>
          <w:color w:val="000000"/>
          <w:sz w:val="24"/>
          <w:szCs w:val="24"/>
        </w:rPr>
        <w:t>: all partners (FGB leading for Italy; UCM leading for Spain</w:t>
      </w:r>
      <w:proofErr w:type="gramStart"/>
      <w:r>
        <w:rPr>
          <w:color w:val="000000"/>
          <w:sz w:val="24"/>
          <w:szCs w:val="24"/>
        </w:rPr>
        <w:t>);</w:t>
      </w:r>
      <w:proofErr w:type="gramEnd"/>
    </w:p>
    <w:p w14:paraId="1C1983C8" w14:textId="77777777" w:rsidR="00BE0E57" w:rsidRDefault="00000000">
      <w:pPr>
        <w:numPr>
          <w:ilvl w:val="0"/>
          <w:numId w:val="11"/>
        </w:numPr>
        <w:pBdr>
          <w:top w:val="nil"/>
          <w:left w:val="nil"/>
          <w:bottom w:val="nil"/>
          <w:right w:val="nil"/>
          <w:between w:val="nil"/>
        </w:pBdr>
        <w:spacing w:after="0"/>
        <w:rPr>
          <w:color w:val="000000"/>
          <w:sz w:val="24"/>
          <w:szCs w:val="24"/>
        </w:rPr>
      </w:pPr>
      <w:r>
        <w:rPr>
          <w:b/>
          <w:color w:val="000000"/>
          <w:sz w:val="24"/>
          <w:szCs w:val="24"/>
          <w:highlight w:val="yellow"/>
        </w:rPr>
        <w:t>Mobility and transport</w:t>
      </w:r>
      <w:r>
        <w:rPr>
          <w:color w:val="000000"/>
          <w:sz w:val="24"/>
          <w:szCs w:val="24"/>
          <w:highlight w:val="yellow"/>
        </w:rPr>
        <w:t xml:space="preserve">: Hungary </w:t>
      </w:r>
      <w:r>
        <w:rPr>
          <w:color w:val="000000"/>
          <w:sz w:val="24"/>
          <w:szCs w:val="24"/>
        </w:rPr>
        <w:t>and Spain (UCM leading</w:t>
      </w:r>
      <w:proofErr w:type="gramStart"/>
      <w:r>
        <w:rPr>
          <w:color w:val="000000"/>
          <w:sz w:val="24"/>
          <w:szCs w:val="24"/>
        </w:rPr>
        <w:t>);</w:t>
      </w:r>
      <w:proofErr w:type="gramEnd"/>
      <w:r>
        <w:rPr>
          <w:color w:val="000000"/>
          <w:sz w:val="24"/>
          <w:szCs w:val="24"/>
        </w:rPr>
        <w:t xml:space="preserve"> </w:t>
      </w:r>
    </w:p>
    <w:p w14:paraId="19E15305" w14:textId="77777777" w:rsidR="00BE0E57" w:rsidRDefault="00000000">
      <w:pPr>
        <w:numPr>
          <w:ilvl w:val="0"/>
          <w:numId w:val="11"/>
        </w:numPr>
        <w:pBdr>
          <w:top w:val="nil"/>
          <w:left w:val="nil"/>
          <w:bottom w:val="nil"/>
          <w:right w:val="nil"/>
          <w:between w:val="nil"/>
        </w:pBdr>
        <w:spacing w:after="0"/>
        <w:rPr>
          <w:color w:val="000000"/>
          <w:sz w:val="24"/>
          <w:szCs w:val="24"/>
        </w:rPr>
      </w:pPr>
      <w:r>
        <w:rPr>
          <w:b/>
          <w:color w:val="000000"/>
          <w:sz w:val="24"/>
          <w:szCs w:val="24"/>
        </w:rPr>
        <w:t>Agriculture and food</w:t>
      </w:r>
      <w:r>
        <w:rPr>
          <w:color w:val="000000"/>
          <w:sz w:val="24"/>
          <w:szCs w:val="24"/>
        </w:rPr>
        <w:t>: Ireland and Italy (FGB leading</w:t>
      </w:r>
      <w:proofErr w:type="gramStart"/>
      <w:r>
        <w:rPr>
          <w:color w:val="000000"/>
          <w:sz w:val="24"/>
          <w:szCs w:val="24"/>
        </w:rPr>
        <w:t>);</w:t>
      </w:r>
      <w:proofErr w:type="gramEnd"/>
    </w:p>
    <w:p w14:paraId="743AA59A" w14:textId="77777777" w:rsidR="00BE0E57" w:rsidRDefault="00000000">
      <w:pPr>
        <w:numPr>
          <w:ilvl w:val="0"/>
          <w:numId w:val="11"/>
        </w:numPr>
        <w:pBdr>
          <w:top w:val="nil"/>
          <w:left w:val="nil"/>
          <w:bottom w:val="nil"/>
          <w:right w:val="nil"/>
          <w:between w:val="nil"/>
        </w:pBdr>
        <w:rPr>
          <w:color w:val="000000"/>
          <w:sz w:val="24"/>
          <w:szCs w:val="24"/>
        </w:rPr>
      </w:pPr>
      <w:r>
        <w:rPr>
          <w:b/>
          <w:color w:val="000000"/>
          <w:sz w:val="24"/>
          <w:szCs w:val="24"/>
        </w:rPr>
        <w:t>Housing and Build environment</w:t>
      </w:r>
      <w:r>
        <w:rPr>
          <w:color w:val="000000"/>
          <w:sz w:val="24"/>
          <w:szCs w:val="24"/>
        </w:rPr>
        <w:t>: Germany and Portugal.</w:t>
      </w:r>
    </w:p>
    <w:p w14:paraId="08F00D65" w14:textId="77777777" w:rsidR="00BE0E57" w:rsidRDefault="00BE0E57">
      <w:pPr>
        <w:rPr>
          <w:b/>
          <w:color w:val="1F3864"/>
          <w:sz w:val="24"/>
          <w:szCs w:val="24"/>
        </w:rPr>
      </w:pPr>
    </w:p>
    <w:p w14:paraId="7C3E8652" w14:textId="77777777" w:rsidR="00BE0E57" w:rsidRDefault="00000000">
      <w:pPr>
        <w:rPr>
          <w:b/>
          <w:color w:val="1F3864"/>
          <w:sz w:val="24"/>
          <w:szCs w:val="24"/>
        </w:rPr>
      </w:pPr>
      <w:r>
        <w:br w:type="page"/>
      </w:r>
    </w:p>
    <w:p w14:paraId="05B4058F" w14:textId="77777777" w:rsidR="00BE0E57" w:rsidRDefault="00000000">
      <w:pPr>
        <w:rPr>
          <w:sz w:val="24"/>
          <w:szCs w:val="24"/>
        </w:rPr>
      </w:pPr>
      <w:r>
        <w:rPr>
          <w:b/>
          <w:color w:val="1F3864"/>
          <w:sz w:val="24"/>
          <w:szCs w:val="24"/>
        </w:rPr>
        <w:lastRenderedPageBreak/>
        <w:t>Summary</w:t>
      </w:r>
    </w:p>
    <w:p w14:paraId="6645E589" w14:textId="77777777" w:rsidR="00BE0E57" w:rsidRDefault="00BE0E57">
      <w:pPr>
        <w:keepNext/>
        <w:keepLines/>
        <w:pBdr>
          <w:top w:val="nil"/>
          <w:left w:val="nil"/>
          <w:bottom w:val="nil"/>
          <w:right w:val="nil"/>
          <w:between w:val="nil"/>
        </w:pBdr>
        <w:tabs>
          <w:tab w:val="left" w:pos="360"/>
        </w:tabs>
        <w:spacing w:before="240" w:after="240"/>
        <w:jc w:val="both"/>
        <w:rPr>
          <w:b/>
          <w:color w:val="1F3864"/>
          <w:sz w:val="32"/>
          <w:szCs w:val="32"/>
        </w:rPr>
      </w:pPr>
      <w:bookmarkStart w:id="2" w:name="_heading=h.ut9inf8j1v34" w:colFirst="0" w:colLast="0"/>
      <w:bookmarkEnd w:id="2"/>
    </w:p>
    <w:sdt>
      <w:sdtPr>
        <w:id w:val="1583866854"/>
        <w:docPartObj>
          <w:docPartGallery w:val="Table of Contents"/>
          <w:docPartUnique/>
        </w:docPartObj>
      </w:sdtPr>
      <w:sdtContent>
        <w:p w14:paraId="2283A784" w14:textId="77777777" w:rsidR="00BE0E57" w:rsidRDefault="00000000">
          <w:pPr>
            <w:widowControl w:val="0"/>
            <w:tabs>
              <w:tab w:val="right" w:pos="12000"/>
            </w:tabs>
            <w:spacing w:before="60" w:after="0" w:line="240" w:lineRule="auto"/>
            <w:rPr>
              <w:b/>
              <w:color w:val="000000"/>
            </w:rPr>
          </w:pPr>
          <w:r>
            <w:fldChar w:fldCharType="begin"/>
          </w:r>
          <w:r>
            <w:instrText xml:space="preserve"> TOC \h \u \z \t "Heading 1,1,Heading 2,2,Heading 3,3,Heading 4,4,Heading 5,5,Heading 6,6,"</w:instrText>
          </w:r>
          <w:r>
            <w:fldChar w:fldCharType="separate"/>
          </w:r>
          <w:hyperlink w:anchor="_heading=h.6mlq94f6n931">
            <w:r>
              <w:rPr>
                <w:b/>
                <w:color w:val="000000"/>
              </w:rPr>
              <w:t>1. HUNGARY’S LONG-TERM STRATEGIES TO MEET THEIR PARIS AGREEMENT COMMITMENTS AND THE ENERGY UNION OBJECTIVES</w:t>
            </w:r>
            <w:r>
              <w:rPr>
                <w:b/>
                <w:color w:val="000000"/>
              </w:rPr>
              <w:tab/>
              <w:t>4</w:t>
            </w:r>
          </w:hyperlink>
        </w:p>
        <w:p w14:paraId="2FBE3843" w14:textId="77777777" w:rsidR="00BE0E57" w:rsidRDefault="00000000">
          <w:pPr>
            <w:widowControl w:val="0"/>
            <w:tabs>
              <w:tab w:val="right" w:pos="12000"/>
            </w:tabs>
            <w:spacing w:before="60" w:after="0" w:line="240" w:lineRule="auto"/>
            <w:rPr>
              <w:b/>
              <w:color w:val="000000"/>
            </w:rPr>
          </w:pPr>
          <w:hyperlink w:anchor="_heading=h.3dj34q2ap85i">
            <w:r>
              <w:rPr>
                <w:b/>
                <w:color w:val="000000"/>
              </w:rPr>
              <w:t>2. SUPPORTING DOCUMENTS: NATIONAL ACTION PLANS</w:t>
            </w:r>
            <w:r>
              <w:rPr>
                <w:b/>
                <w:color w:val="000000"/>
              </w:rPr>
              <w:tab/>
              <w:t>14</w:t>
            </w:r>
          </w:hyperlink>
        </w:p>
        <w:p w14:paraId="2F813CDB" w14:textId="77777777" w:rsidR="00BE0E57" w:rsidRDefault="00000000">
          <w:pPr>
            <w:widowControl w:val="0"/>
            <w:tabs>
              <w:tab w:val="right" w:pos="12000"/>
            </w:tabs>
            <w:spacing w:before="60" w:after="0" w:line="240" w:lineRule="auto"/>
            <w:rPr>
              <w:b/>
              <w:color w:val="000000"/>
            </w:rPr>
          </w:pPr>
          <w:hyperlink w:anchor="_heading=h.infd9rljrygi">
            <w:r>
              <w:rPr>
                <w:b/>
                <w:color w:val="000000"/>
              </w:rPr>
              <w:t>1. HUNGARY’S LONG-TERM STRATEGIES IN THE MOBILITY AND TRANSPORTATION SECTOR</w:t>
            </w:r>
            <w:r>
              <w:rPr>
                <w:b/>
                <w:color w:val="000000"/>
              </w:rPr>
              <w:tab/>
              <w:t>19</w:t>
            </w:r>
          </w:hyperlink>
        </w:p>
        <w:p w14:paraId="0C086139" w14:textId="77777777" w:rsidR="00BE0E57" w:rsidRDefault="00000000">
          <w:pPr>
            <w:widowControl w:val="0"/>
            <w:tabs>
              <w:tab w:val="right" w:pos="12000"/>
            </w:tabs>
            <w:spacing w:before="60" w:after="0" w:line="240" w:lineRule="auto"/>
            <w:rPr>
              <w:b/>
              <w:color w:val="000000"/>
            </w:rPr>
          </w:pPr>
          <w:hyperlink w:anchor="_heading=h.e2gfkeinto5s">
            <w:r>
              <w:rPr>
                <w:b/>
                <w:color w:val="000000"/>
              </w:rPr>
              <w:t>2. Supporting documents: National Action Plans</w:t>
            </w:r>
            <w:r>
              <w:rPr>
                <w:b/>
                <w:color w:val="000000"/>
              </w:rPr>
              <w:tab/>
              <w:t>26</w:t>
            </w:r>
          </w:hyperlink>
          <w:r>
            <w:fldChar w:fldCharType="end"/>
          </w:r>
        </w:p>
      </w:sdtContent>
    </w:sdt>
    <w:p w14:paraId="38867C02" w14:textId="77777777" w:rsidR="00BE0E57" w:rsidRDefault="00000000">
      <w:pPr>
        <w:keepNext/>
        <w:keepLines/>
        <w:pBdr>
          <w:top w:val="nil"/>
          <w:left w:val="nil"/>
          <w:bottom w:val="nil"/>
          <w:right w:val="nil"/>
          <w:between w:val="nil"/>
        </w:pBdr>
        <w:tabs>
          <w:tab w:val="left" w:pos="360"/>
        </w:tabs>
        <w:spacing w:before="240" w:after="240"/>
        <w:jc w:val="both"/>
        <w:rPr>
          <w:b/>
          <w:color w:val="1F3864"/>
          <w:sz w:val="32"/>
          <w:szCs w:val="32"/>
        </w:rPr>
      </w:pPr>
      <w:bookmarkStart w:id="3" w:name="_heading=h.wed9thj4b1ez" w:colFirst="0" w:colLast="0"/>
      <w:bookmarkEnd w:id="3"/>
      <w:r>
        <w:br w:type="page"/>
      </w:r>
    </w:p>
    <w:p w14:paraId="1A502A53" w14:textId="77777777" w:rsidR="00BE0E57" w:rsidRDefault="00000000">
      <w:pPr>
        <w:pStyle w:val="Heading1"/>
        <w:tabs>
          <w:tab w:val="left" w:pos="360"/>
        </w:tabs>
      </w:pPr>
      <w:bookmarkStart w:id="4" w:name="_heading=h.1fob9te" w:colFirst="0" w:colLast="0"/>
      <w:bookmarkEnd w:id="4"/>
      <w:r>
        <w:lastRenderedPageBreak/>
        <w:t xml:space="preserve">Energy sector </w:t>
      </w:r>
    </w:p>
    <w:p w14:paraId="10748494" w14:textId="77777777" w:rsidR="00BE0E57" w:rsidRDefault="00000000">
      <w:pPr>
        <w:pStyle w:val="Heading2"/>
        <w:numPr>
          <w:ilvl w:val="0"/>
          <w:numId w:val="9"/>
        </w:numPr>
        <w:spacing w:after="200"/>
      </w:pPr>
      <w:bookmarkStart w:id="5" w:name="_heading=h.6mlq94f6n931" w:colFirst="0" w:colLast="0"/>
      <w:bookmarkEnd w:id="5"/>
      <w:r>
        <w:t>HUNGARY’S LONG-TERM STRATEGIES TO MEET THEIR PARIS AGREEMENT COMMITMENTS AND THE ENERGY UNION OBJECTIVES</w:t>
      </w:r>
    </w:p>
    <w:p w14:paraId="610ECDBF" w14:textId="77777777" w:rsidR="00BE0E57" w:rsidRDefault="00000000">
      <w:pPr>
        <w:spacing w:after="200" w:line="276" w:lineRule="auto"/>
        <w:jc w:val="both"/>
        <w:rPr>
          <w:sz w:val="24"/>
          <w:szCs w:val="24"/>
        </w:rPr>
      </w:pPr>
      <w:r>
        <w:rPr>
          <w:sz w:val="24"/>
          <w:szCs w:val="24"/>
        </w:rPr>
        <w:t xml:space="preserve">Hungary, </w:t>
      </w:r>
      <w:proofErr w:type="gramStart"/>
      <w:r>
        <w:rPr>
          <w:sz w:val="24"/>
          <w:szCs w:val="24"/>
        </w:rPr>
        <w:t>similarly</w:t>
      </w:r>
      <w:proofErr w:type="gramEnd"/>
      <w:r>
        <w:rPr>
          <w:sz w:val="24"/>
          <w:szCs w:val="24"/>
        </w:rPr>
        <w:t xml:space="preserve"> to other EU member states, has an outlined and comprehensive set of strategic goals to fulfil its commitments under the Paris Agreement and align with the European Union's Energy Union objectives. These goals focus </w:t>
      </w:r>
      <w:r>
        <w:rPr>
          <w:i/>
          <w:sz w:val="24"/>
          <w:szCs w:val="24"/>
        </w:rPr>
        <w:t xml:space="preserve">on </w:t>
      </w:r>
      <w:r w:rsidRPr="00621C4F">
        <w:rPr>
          <w:i/>
          <w:sz w:val="24"/>
          <w:szCs w:val="24"/>
          <w:highlight w:val="green"/>
        </w:rPr>
        <w:t>achieving climate neutrality by 2050,</w:t>
      </w:r>
      <w:r>
        <w:rPr>
          <w:i/>
          <w:sz w:val="24"/>
          <w:szCs w:val="24"/>
        </w:rPr>
        <w:t xml:space="preserve"> </w:t>
      </w:r>
      <w:r w:rsidRPr="00621C4F">
        <w:rPr>
          <w:i/>
          <w:sz w:val="24"/>
          <w:szCs w:val="24"/>
          <w:highlight w:val="green"/>
        </w:rPr>
        <w:t>increasing the share of renewable energy, enhancing energy efficiency, strengthening energy security,</w:t>
      </w:r>
      <w:r>
        <w:rPr>
          <w:i/>
          <w:sz w:val="24"/>
          <w:szCs w:val="24"/>
        </w:rPr>
        <w:t xml:space="preserve"> </w:t>
      </w:r>
      <w:r w:rsidRPr="00621C4F">
        <w:rPr>
          <w:i/>
          <w:sz w:val="24"/>
          <w:szCs w:val="24"/>
          <w:highlight w:val="green"/>
        </w:rPr>
        <w:t>expanding nuclear energy capacity,</w:t>
      </w:r>
      <w:r>
        <w:rPr>
          <w:i/>
          <w:sz w:val="24"/>
          <w:szCs w:val="24"/>
        </w:rPr>
        <w:t xml:space="preserve"> and integrating into the European energy market</w:t>
      </w:r>
      <w:r>
        <w:rPr>
          <w:sz w:val="24"/>
          <w:szCs w:val="24"/>
        </w:rPr>
        <w:t>. These are supported by:</w:t>
      </w:r>
    </w:p>
    <w:p w14:paraId="0FF80A22" w14:textId="77777777" w:rsidR="00BE0E57" w:rsidRDefault="00000000">
      <w:pPr>
        <w:numPr>
          <w:ilvl w:val="0"/>
          <w:numId w:val="3"/>
        </w:numPr>
        <w:spacing w:after="200" w:line="276" w:lineRule="auto"/>
        <w:jc w:val="both"/>
        <w:rPr>
          <w:b/>
          <w:sz w:val="24"/>
          <w:szCs w:val="24"/>
        </w:rPr>
      </w:pPr>
      <w:r>
        <w:rPr>
          <w:b/>
          <w:sz w:val="24"/>
          <w:szCs w:val="24"/>
        </w:rPr>
        <w:t>National Clean Development Strategy 2020-2050</w:t>
      </w:r>
      <w:r>
        <w:rPr>
          <w:b/>
          <w:sz w:val="24"/>
          <w:szCs w:val="24"/>
          <w:vertAlign w:val="superscript"/>
        </w:rPr>
        <w:footnoteReference w:id="1"/>
      </w:r>
    </w:p>
    <w:p w14:paraId="39A9637D" w14:textId="77777777" w:rsidR="00BE0E57" w:rsidRDefault="00000000">
      <w:pPr>
        <w:numPr>
          <w:ilvl w:val="0"/>
          <w:numId w:val="3"/>
        </w:numPr>
        <w:spacing w:after="200" w:line="276" w:lineRule="auto"/>
        <w:jc w:val="both"/>
        <w:rPr>
          <w:b/>
          <w:sz w:val="24"/>
          <w:szCs w:val="24"/>
        </w:rPr>
      </w:pPr>
      <w:r>
        <w:rPr>
          <w:b/>
          <w:sz w:val="24"/>
          <w:szCs w:val="24"/>
        </w:rPr>
        <w:t>Second National Climate Change Strategy (NCCS-2) 2014-2025</w:t>
      </w:r>
      <w:r>
        <w:rPr>
          <w:b/>
          <w:sz w:val="24"/>
          <w:szCs w:val="24"/>
          <w:vertAlign w:val="superscript"/>
        </w:rPr>
        <w:footnoteReference w:id="2"/>
      </w:r>
    </w:p>
    <w:p w14:paraId="325A8189" w14:textId="77777777" w:rsidR="00BE0E57" w:rsidRDefault="00000000">
      <w:pPr>
        <w:numPr>
          <w:ilvl w:val="0"/>
          <w:numId w:val="3"/>
        </w:numPr>
        <w:spacing w:after="200" w:line="276" w:lineRule="auto"/>
        <w:jc w:val="both"/>
        <w:rPr>
          <w:b/>
          <w:sz w:val="24"/>
          <w:szCs w:val="24"/>
        </w:rPr>
      </w:pPr>
      <w:r>
        <w:rPr>
          <w:b/>
          <w:sz w:val="24"/>
          <w:szCs w:val="24"/>
        </w:rPr>
        <w:t>National Energy Strategy 2030 with an Outlook to 2040</w:t>
      </w:r>
      <w:r>
        <w:rPr>
          <w:b/>
          <w:sz w:val="24"/>
          <w:szCs w:val="24"/>
          <w:vertAlign w:val="superscript"/>
        </w:rPr>
        <w:footnoteReference w:id="3"/>
      </w:r>
    </w:p>
    <w:p w14:paraId="5528376A" w14:textId="77777777" w:rsidR="00BE0E57" w:rsidRDefault="00000000">
      <w:pPr>
        <w:numPr>
          <w:ilvl w:val="0"/>
          <w:numId w:val="3"/>
        </w:numPr>
        <w:spacing w:after="200" w:line="276" w:lineRule="auto"/>
        <w:jc w:val="both"/>
        <w:rPr>
          <w:b/>
          <w:sz w:val="24"/>
          <w:szCs w:val="24"/>
        </w:rPr>
      </w:pPr>
      <w:r>
        <w:rPr>
          <w:b/>
          <w:sz w:val="24"/>
          <w:szCs w:val="24"/>
        </w:rPr>
        <w:t>National Hydrogen Strategy</w:t>
      </w:r>
      <w:r>
        <w:rPr>
          <w:b/>
          <w:sz w:val="24"/>
          <w:szCs w:val="24"/>
          <w:vertAlign w:val="superscript"/>
        </w:rPr>
        <w:footnoteReference w:id="4"/>
      </w:r>
    </w:p>
    <w:p w14:paraId="02E2C4C3" w14:textId="77777777" w:rsidR="00BE0E57" w:rsidRDefault="00000000">
      <w:pPr>
        <w:spacing w:after="200" w:line="276" w:lineRule="auto"/>
        <w:jc w:val="both"/>
        <w:rPr>
          <w:sz w:val="24"/>
          <w:szCs w:val="24"/>
        </w:rPr>
      </w:pPr>
      <w:r>
        <w:rPr>
          <w:sz w:val="24"/>
          <w:szCs w:val="24"/>
        </w:rPr>
        <w:t xml:space="preserve">In 2020, the government of Hungary has committed to achieve climate neutrality by 2050. That </w:t>
      </w:r>
      <w:proofErr w:type="gramStart"/>
      <w:r>
        <w:rPr>
          <w:sz w:val="24"/>
          <w:szCs w:val="24"/>
        </w:rPr>
        <w:t>means,</w:t>
      </w:r>
      <w:proofErr w:type="gramEnd"/>
      <w:r>
        <w:rPr>
          <w:sz w:val="24"/>
          <w:szCs w:val="24"/>
        </w:rPr>
        <w:t xml:space="preserve"> to balance greenhouse gas emissions with removal efforts through carbon sinks and innovative technologies. This commitment is </w:t>
      </w:r>
      <w:r>
        <w:rPr>
          <w:b/>
          <w:sz w:val="24"/>
          <w:szCs w:val="24"/>
        </w:rPr>
        <w:t>codified in Hungary's Climate Protection Law</w:t>
      </w:r>
      <w:r>
        <w:rPr>
          <w:b/>
          <w:sz w:val="24"/>
          <w:szCs w:val="24"/>
          <w:vertAlign w:val="superscript"/>
        </w:rPr>
        <w:footnoteReference w:id="5"/>
      </w:r>
      <w:r>
        <w:rPr>
          <w:sz w:val="24"/>
          <w:szCs w:val="24"/>
        </w:rPr>
        <w:t>, adopted in the same year, which legally binds the country to this target (Hungarian Parliament, 2020).</w:t>
      </w:r>
    </w:p>
    <w:p w14:paraId="50A32BDB" w14:textId="10BC2D89" w:rsidR="00BE0E57" w:rsidRDefault="00000000">
      <w:pPr>
        <w:spacing w:after="200" w:line="276" w:lineRule="auto"/>
        <w:jc w:val="both"/>
        <w:rPr>
          <w:sz w:val="24"/>
          <w:szCs w:val="24"/>
        </w:rPr>
      </w:pPr>
      <w:r>
        <w:rPr>
          <w:sz w:val="24"/>
          <w:szCs w:val="24"/>
        </w:rPr>
        <w:t xml:space="preserve">The Ministry for Innovation and Technology (MIT; legal successor: Ministry for Technology and Industry cc. 2022) developed a supporting document, called </w:t>
      </w:r>
      <w:r>
        <w:rPr>
          <w:b/>
          <w:sz w:val="24"/>
          <w:szCs w:val="24"/>
          <w:u w:val="single"/>
        </w:rPr>
        <w:t>“National Clean Development Strategy”</w:t>
      </w:r>
      <w:r>
        <w:rPr>
          <w:sz w:val="24"/>
          <w:szCs w:val="24"/>
        </w:rPr>
        <w:t>, that outlines pathways on how to reach these goals. The Strategy itself emphasises:</w:t>
      </w:r>
    </w:p>
    <w:p w14:paraId="1ED64130" w14:textId="77777777" w:rsidR="00BE0E57" w:rsidRDefault="00000000">
      <w:pPr>
        <w:numPr>
          <w:ilvl w:val="0"/>
          <w:numId w:val="4"/>
        </w:numPr>
        <w:spacing w:after="200" w:line="276" w:lineRule="auto"/>
        <w:jc w:val="both"/>
        <w:rPr>
          <w:sz w:val="24"/>
          <w:szCs w:val="24"/>
        </w:rPr>
      </w:pPr>
      <w:r>
        <w:rPr>
          <w:sz w:val="24"/>
          <w:szCs w:val="24"/>
          <w:u w:val="single"/>
        </w:rPr>
        <w:t>Decarbonisation of energy production:</w:t>
      </w:r>
      <w:r>
        <w:rPr>
          <w:sz w:val="24"/>
          <w:szCs w:val="24"/>
        </w:rPr>
        <w:t xml:space="preserve"> transitioning from fossil fuels to renewable energy sources and nuclear power is central to Hungary's strategy. </w:t>
      </w:r>
      <w:proofErr w:type="gramStart"/>
      <w:r>
        <w:rPr>
          <w:sz w:val="24"/>
          <w:szCs w:val="24"/>
        </w:rPr>
        <w:t>Thus</w:t>
      </w:r>
      <w:proofErr w:type="gramEnd"/>
      <w:r>
        <w:rPr>
          <w:sz w:val="24"/>
          <w:szCs w:val="24"/>
        </w:rPr>
        <w:t xml:space="preserve"> increasing the share of renewables enhances energy security and reduces emissions and energy dependency.</w:t>
      </w:r>
    </w:p>
    <w:p w14:paraId="1C8F83A4" w14:textId="77777777" w:rsidR="00BE0E57" w:rsidRDefault="00000000">
      <w:pPr>
        <w:numPr>
          <w:ilvl w:val="0"/>
          <w:numId w:val="4"/>
        </w:numPr>
        <w:spacing w:after="200" w:line="276" w:lineRule="auto"/>
        <w:jc w:val="both"/>
        <w:rPr>
          <w:sz w:val="24"/>
          <w:szCs w:val="24"/>
        </w:rPr>
      </w:pPr>
      <w:r>
        <w:rPr>
          <w:sz w:val="24"/>
          <w:szCs w:val="24"/>
          <w:u w:val="single"/>
        </w:rPr>
        <w:t>Energy efficiency improvements:</w:t>
      </w:r>
      <w:r>
        <w:rPr>
          <w:sz w:val="24"/>
          <w:szCs w:val="24"/>
        </w:rPr>
        <w:t xml:space="preserve"> Reducing energy consumption across all sectors is critical. Hungary focuses on technological advancements and promoting behavioural changes to improve energy efficiency.</w:t>
      </w:r>
    </w:p>
    <w:p w14:paraId="48B9DCB4" w14:textId="77777777" w:rsidR="00BE0E57" w:rsidRDefault="00000000">
      <w:pPr>
        <w:numPr>
          <w:ilvl w:val="0"/>
          <w:numId w:val="4"/>
        </w:numPr>
        <w:spacing w:after="200" w:line="276" w:lineRule="auto"/>
        <w:jc w:val="both"/>
        <w:rPr>
          <w:sz w:val="24"/>
          <w:szCs w:val="24"/>
        </w:rPr>
      </w:pPr>
      <w:r>
        <w:rPr>
          <w:sz w:val="24"/>
          <w:szCs w:val="24"/>
          <w:u w:val="single"/>
        </w:rPr>
        <w:lastRenderedPageBreak/>
        <w:t>Carbon sequestration:</w:t>
      </w:r>
      <w:r>
        <w:rPr>
          <w:sz w:val="24"/>
          <w:szCs w:val="24"/>
        </w:rPr>
        <w:t xml:space="preserve"> Enhancing natural carbon sinks through afforestation and sustainable land management practices contributes to removing carbon dioxide from the atmosphere.</w:t>
      </w:r>
    </w:p>
    <w:p w14:paraId="1D54D317" w14:textId="77777777" w:rsidR="00BE0E57" w:rsidRDefault="00000000">
      <w:pPr>
        <w:numPr>
          <w:ilvl w:val="0"/>
          <w:numId w:val="4"/>
        </w:numPr>
        <w:spacing w:after="200" w:line="276" w:lineRule="auto"/>
        <w:jc w:val="both"/>
        <w:rPr>
          <w:sz w:val="24"/>
          <w:szCs w:val="24"/>
        </w:rPr>
      </w:pPr>
      <w:r>
        <w:rPr>
          <w:sz w:val="24"/>
          <w:szCs w:val="24"/>
        </w:rPr>
        <w:t>Innovation and research:  Investing in low-carbon technologies and supporting research initiatives is essential for sustainable development. Hungary aims to foster innovation to facilitate the energy transition.</w:t>
      </w:r>
    </w:p>
    <w:p w14:paraId="5A32C9D5" w14:textId="77777777" w:rsidR="00BE0E57" w:rsidRDefault="00000000">
      <w:pPr>
        <w:spacing w:after="200" w:line="276" w:lineRule="auto"/>
        <w:jc w:val="both"/>
        <w:rPr>
          <w:sz w:val="24"/>
          <w:szCs w:val="24"/>
        </w:rPr>
      </w:pPr>
      <w:r>
        <w:rPr>
          <w:sz w:val="24"/>
          <w:szCs w:val="24"/>
        </w:rPr>
        <w:t xml:space="preserve">Hungary's strategic shift towards increasing the share of renewable energy sources (RES) is multifaceted, targeting crucial aspects of its energy policy—diversification, emission reduction, and energy security. </w:t>
      </w:r>
      <w:r>
        <w:rPr>
          <w:b/>
          <w:sz w:val="24"/>
          <w:szCs w:val="24"/>
        </w:rPr>
        <w:t xml:space="preserve">The commitment means the </w:t>
      </w:r>
      <w:r w:rsidRPr="00105F7E">
        <w:rPr>
          <w:b/>
          <w:sz w:val="24"/>
          <w:szCs w:val="24"/>
          <w:highlight w:val="green"/>
        </w:rPr>
        <w:t>increment of the share of RES in its gross final energy consumption to at least 21% by 2030</w:t>
      </w:r>
      <w:r>
        <w:rPr>
          <w:sz w:val="24"/>
          <w:szCs w:val="24"/>
        </w:rPr>
        <w:t xml:space="preserve">, as stipulated in its </w:t>
      </w:r>
      <w:r>
        <w:rPr>
          <w:i/>
          <w:sz w:val="24"/>
          <w:szCs w:val="24"/>
          <w:u w:val="single"/>
        </w:rPr>
        <w:t>National Energy and Climate Plan (NECP)</w:t>
      </w:r>
      <w:r>
        <w:rPr>
          <w:sz w:val="24"/>
          <w:szCs w:val="24"/>
        </w:rPr>
        <w:t xml:space="preserve"> published in 2020 by the MIT.</w:t>
      </w:r>
    </w:p>
    <w:p w14:paraId="6975DE39" w14:textId="77777777" w:rsidR="00BE0E57" w:rsidRDefault="00000000">
      <w:pPr>
        <w:spacing w:after="200" w:line="276" w:lineRule="auto"/>
        <w:jc w:val="both"/>
        <w:rPr>
          <w:b/>
          <w:sz w:val="24"/>
          <w:szCs w:val="24"/>
        </w:rPr>
      </w:pPr>
      <w:r>
        <w:rPr>
          <w:sz w:val="24"/>
          <w:szCs w:val="24"/>
        </w:rPr>
        <w:t xml:space="preserve">Historically, </w:t>
      </w:r>
      <w:r>
        <w:rPr>
          <w:b/>
          <w:sz w:val="24"/>
          <w:szCs w:val="24"/>
        </w:rPr>
        <w:t>Hungary's energy mix has been dominated by fossil fuels</w:t>
      </w:r>
      <w:r>
        <w:rPr>
          <w:sz w:val="24"/>
          <w:szCs w:val="24"/>
        </w:rPr>
        <w:t xml:space="preserve">, particularly natural gas imported from Russia. This over-reliance poses significant risks, including vulnerability to supply disruptions and geopolitical tensions, as well as exposure to volatile global energy prices. To mitigate these risks, Hungary is investing in a variety of renewable energy </w:t>
      </w:r>
      <w:r w:rsidRPr="00105F7E">
        <w:rPr>
          <w:sz w:val="24"/>
          <w:szCs w:val="24"/>
          <w:highlight w:val="green"/>
        </w:rPr>
        <w:t>technologies such as solar, biomass, and geothermal energy.</w:t>
      </w:r>
      <w:r>
        <w:rPr>
          <w:sz w:val="24"/>
          <w:szCs w:val="24"/>
        </w:rPr>
        <w:t xml:space="preserve"> </w:t>
      </w:r>
      <w:r>
        <w:rPr>
          <w:b/>
          <w:sz w:val="24"/>
          <w:szCs w:val="24"/>
        </w:rPr>
        <w:t>As of 2024, this over-reliance still poses significant risks, including vulnerability to supply disruptions and geopolitical tensions, as well as exposure to volatile global energy prices.</w:t>
      </w:r>
    </w:p>
    <w:p w14:paraId="69DB157C" w14:textId="77777777" w:rsidR="00BE0E57" w:rsidRDefault="00000000">
      <w:pPr>
        <w:spacing w:after="200" w:line="276" w:lineRule="auto"/>
        <w:jc w:val="both"/>
        <w:rPr>
          <w:sz w:val="24"/>
          <w:szCs w:val="24"/>
        </w:rPr>
      </w:pPr>
      <w:r>
        <w:rPr>
          <w:sz w:val="24"/>
          <w:szCs w:val="24"/>
        </w:rPr>
        <w:t xml:space="preserve">Thus, diversifying energy sources through renewable energy not only mitigates risks associated with fossil fuel dependence but also capitalises on Hungary's indigenous resources, reducing the need for imports. For example, Hungary has substantial solar energy potential, with average annual solar irradiation levels suitable for photovoltaic (PV) power generation. The </w:t>
      </w:r>
      <w:r>
        <w:rPr>
          <w:i/>
          <w:sz w:val="24"/>
          <w:szCs w:val="24"/>
        </w:rPr>
        <w:t xml:space="preserve">NECP </w:t>
      </w:r>
      <w:r>
        <w:rPr>
          <w:sz w:val="24"/>
          <w:szCs w:val="24"/>
        </w:rPr>
        <w:t xml:space="preserve">ambitious aim to increase installed solar PV capacity to 6,000 MW by 2030, leveraging this domestic resource to meet energy demands was viewed sceptically. </w:t>
      </w:r>
      <w:r>
        <w:rPr>
          <w:b/>
          <w:sz w:val="24"/>
          <w:szCs w:val="24"/>
        </w:rPr>
        <w:t>However, exceeding expectations, by the end of 2023, Hungary's installed solar PV capacity reached approximately 5,649 MW, thus surpassing the initial target of 6,000 MW set for 2030.</w:t>
      </w:r>
      <w:r>
        <w:rPr>
          <w:b/>
          <w:sz w:val="24"/>
          <w:szCs w:val="24"/>
          <w:vertAlign w:val="superscript"/>
        </w:rPr>
        <w:footnoteReference w:id="6"/>
      </w:r>
      <w:r>
        <w:rPr>
          <w:b/>
          <w:sz w:val="24"/>
          <w:szCs w:val="24"/>
        </w:rPr>
        <w:t xml:space="preserve"> </w:t>
      </w:r>
      <w:r>
        <w:rPr>
          <w:sz w:val="24"/>
          <w:szCs w:val="24"/>
        </w:rPr>
        <w:t>This rapid expansion showed the country's (the society’s) commitment to use domestic resources to fulfil their needs.</w:t>
      </w:r>
    </w:p>
    <w:p w14:paraId="14D41BA7" w14:textId="77777777" w:rsidR="00BE0E57" w:rsidRDefault="00000000">
      <w:pPr>
        <w:spacing w:after="200" w:line="276" w:lineRule="auto"/>
        <w:jc w:val="both"/>
        <w:rPr>
          <w:sz w:val="24"/>
          <w:szCs w:val="24"/>
        </w:rPr>
      </w:pPr>
      <w:r>
        <w:rPr>
          <w:sz w:val="24"/>
          <w:szCs w:val="24"/>
        </w:rPr>
        <w:t xml:space="preserve">In terms of </w:t>
      </w:r>
      <w:r w:rsidRPr="00105F7E">
        <w:rPr>
          <w:sz w:val="24"/>
          <w:szCs w:val="24"/>
          <w:highlight w:val="green"/>
        </w:rPr>
        <w:t>reducing greenhouse gas emissions, the</w:t>
      </w:r>
      <w:r>
        <w:rPr>
          <w:sz w:val="24"/>
          <w:szCs w:val="24"/>
        </w:rPr>
        <w:t xml:space="preserve"> adoption of renewable energy is one of the keys to success. The combustion of fossil fuels is a primary source of carbon dioxide (CO₂) emissions, contributing significantly to climate change. Renewables, on the other hand, produce minimal to zero emissions during operation. By increasing the share of renewables to at least 21% by 2030</w:t>
      </w:r>
      <w:r>
        <w:rPr>
          <w:sz w:val="24"/>
          <w:szCs w:val="24"/>
          <w:vertAlign w:val="superscript"/>
        </w:rPr>
        <w:footnoteReference w:id="7"/>
      </w:r>
      <w:r>
        <w:rPr>
          <w:sz w:val="24"/>
          <w:szCs w:val="24"/>
        </w:rPr>
        <w:t>, Hungary projects a substantial reduction in its carbon footprint (NECP).</w:t>
      </w:r>
    </w:p>
    <w:p w14:paraId="283594D6" w14:textId="77777777" w:rsidR="00BE0E57" w:rsidRDefault="00000000">
      <w:pPr>
        <w:spacing w:after="200" w:line="276" w:lineRule="auto"/>
        <w:jc w:val="both"/>
        <w:rPr>
          <w:sz w:val="24"/>
          <w:szCs w:val="24"/>
        </w:rPr>
      </w:pPr>
      <w:r>
        <w:rPr>
          <w:b/>
          <w:sz w:val="24"/>
          <w:szCs w:val="24"/>
        </w:rPr>
        <w:t xml:space="preserve">The geopolitical events of the recent years strengthened the need for enhancing energy security, thus becoming a central objective in Hungary's energy strategy. </w:t>
      </w:r>
      <w:r>
        <w:rPr>
          <w:sz w:val="24"/>
          <w:szCs w:val="24"/>
        </w:rPr>
        <w:t xml:space="preserve">Dependence on imported fossil fuels not only affects the country's trade balance and overall economy and social </w:t>
      </w:r>
      <w:r>
        <w:rPr>
          <w:sz w:val="24"/>
          <w:szCs w:val="24"/>
        </w:rPr>
        <w:lastRenderedPageBreak/>
        <w:t xml:space="preserve">security but also exposes it to supply risks stemming from political instability or conflicts in supplier regions. By developing domestic renewable energy infrastructure, Hungary can mitigate these risks. </w:t>
      </w:r>
      <w:r>
        <w:rPr>
          <w:b/>
          <w:sz w:val="24"/>
          <w:szCs w:val="24"/>
        </w:rPr>
        <w:t>The NECP highlights some of the possible routes</w:t>
      </w:r>
      <w:r>
        <w:rPr>
          <w:sz w:val="24"/>
          <w:szCs w:val="24"/>
        </w:rPr>
        <w:t xml:space="preserve"> to take:</w:t>
      </w:r>
    </w:p>
    <w:p w14:paraId="2A9B8DF1" w14:textId="77777777" w:rsidR="00BE0E57" w:rsidRDefault="00BE0E57">
      <w:pPr>
        <w:spacing w:after="0" w:line="276" w:lineRule="auto"/>
        <w:jc w:val="both"/>
        <w:rPr>
          <w:sz w:val="24"/>
          <w:szCs w:val="24"/>
        </w:rPr>
      </w:pPr>
    </w:p>
    <w:p w14:paraId="2CA112DF" w14:textId="77777777" w:rsidR="00BE0E57" w:rsidRDefault="00000000">
      <w:pPr>
        <w:numPr>
          <w:ilvl w:val="0"/>
          <w:numId w:val="13"/>
        </w:numPr>
        <w:spacing w:after="0" w:line="276" w:lineRule="auto"/>
        <w:jc w:val="both"/>
        <w:rPr>
          <w:sz w:val="24"/>
          <w:szCs w:val="24"/>
        </w:rPr>
      </w:pPr>
      <w:r>
        <w:rPr>
          <w:sz w:val="24"/>
          <w:szCs w:val="24"/>
          <w:u w:val="single"/>
        </w:rPr>
        <w:t>Biomass Energy:</w:t>
      </w:r>
      <w:r>
        <w:rPr>
          <w:sz w:val="24"/>
          <w:szCs w:val="24"/>
        </w:rPr>
        <w:t xml:space="preserve"> Utilising agricultural and forestry residues for biomass energy supports rural economies and provides a steady, controllable energy source.</w:t>
      </w:r>
    </w:p>
    <w:p w14:paraId="3A5DB0F4" w14:textId="77777777" w:rsidR="00BE0E57" w:rsidRDefault="00000000">
      <w:pPr>
        <w:numPr>
          <w:ilvl w:val="0"/>
          <w:numId w:val="13"/>
        </w:numPr>
        <w:spacing w:after="200" w:line="276" w:lineRule="auto"/>
        <w:jc w:val="both"/>
        <w:rPr>
          <w:sz w:val="24"/>
          <w:szCs w:val="24"/>
        </w:rPr>
      </w:pPr>
      <w:r>
        <w:rPr>
          <w:sz w:val="24"/>
          <w:szCs w:val="24"/>
          <w:u w:val="single"/>
        </w:rPr>
        <w:t>Geothermal Energy:</w:t>
      </w:r>
      <w:r>
        <w:rPr>
          <w:sz w:val="24"/>
          <w:szCs w:val="24"/>
        </w:rPr>
        <w:t xml:space="preserve"> Hungary's geothermal resources are among the richest in Europe, offering a reliable and local energy supply for heating and electricity.</w:t>
      </w:r>
    </w:p>
    <w:p w14:paraId="375A6678" w14:textId="77777777" w:rsidR="00BE0E57" w:rsidRDefault="00000000">
      <w:pPr>
        <w:spacing w:after="200" w:line="276" w:lineRule="auto"/>
        <w:jc w:val="both"/>
        <w:rPr>
          <w:sz w:val="24"/>
          <w:szCs w:val="24"/>
        </w:rPr>
      </w:pPr>
      <w:r>
        <w:rPr>
          <w:sz w:val="24"/>
          <w:szCs w:val="24"/>
        </w:rPr>
        <w:t xml:space="preserve">By decreasing reliance on imported fossil fuels, Hungary also gains greater control over energy pricing and policy. This transition supports economic stability and allows for more predictable long-term planning. </w:t>
      </w:r>
      <w:r>
        <w:rPr>
          <w:i/>
          <w:sz w:val="24"/>
          <w:szCs w:val="24"/>
        </w:rPr>
        <w:t>Additionally, these efforts can successfully stimulate technological innovation and job creation within the renewable energy sector, contributing to economic growth and regional development</w:t>
      </w:r>
      <w:r>
        <w:rPr>
          <w:sz w:val="24"/>
          <w:szCs w:val="24"/>
        </w:rPr>
        <w:t>. If these strategic aspirations lead to successful investments and R&amp;D in renewables that means the rise of new industries and services, enhancing Hungarian society’s security and competitiveness.</w:t>
      </w:r>
    </w:p>
    <w:p w14:paraId="2219DDAA" w14:textId="77777777" w:rsidR="00BE0E57" w:rsidRDefault="00000000">
      <w:pPr>
        <w:spacing w:after="200" w:line="276" w:lineRule="auto"/>
        <w:jc w:val="both"/>
        <w:rPr>
          <w:sz w:val="24"/>
          <w:szCs w:val="24"/>
        </w:rPr>
      </w:pPr>
      <w:r>
        <w:rPr>
          <w:sz w:val="24"/>
          <w:szCs w:val="24"/>
        </w:rPr>
        <w:t xml:space="preserve">Energy efficiency plays a critical role in Hungary's efforts to meet its climate and energy objectives for several reasons. The most simple and logical reason is that energy efficiency is widely recognized as one of the most cost-effective steps to reduce greenhouse gas emissions. By consuming less energy to perform the same tasks, Hungary can lower emissions (and lessen the financial burden on the price sensitive segment of the society) without the need for expensive technology overhauls or significant lifestyle changes. </w:t>
      </w:r>
    </w:p>
    <w:p w14:paraId="555994F4" w14:textId="77777777" w:rsidR="00BE0E57" w:rsidRDefault="00000000">
      <w:pPr>
        <w:spacing w:after="200" w:line="276" w:lineRule="auto"/>
        <w:jc w:val="both"/>
        <w:rPr>
          <w:sz w:val="24"/>
          <w:szCs w:val="24"/>
        </w:rPr>
      </w:pPr>
      <w:r>
        <w:rPr>
          <w:b/>
          <w:sz w:val="24"/>
          <w:szCs w:val="24"/>
        </w:rPr>
        <w:t>Reducing energy consumption also means the decreasing dependence on imported energy sources, particularly fossil fuels like natural gas and oil.</w:t>
      </w:r>
      <w:r>
        <w:rPr>
          <w:sz w:val="24"/>
          <w:szCs w:val="24"/>
        </w:rPr>
        <w:t xml:space="preserve"> (Improved energy efficiency helps to mitigate risks associated with supply disruptions and price volatility in international markets.) These measures, as it was briefly mentioned before, will lead to substantial economic savings for consumers and businesses by lowering their energy bills - and </w:t>
      </w:r>
      <w:proofErr w:type="gramStart"/>
      <w:r>
        <w:rPr>
          <w:sz w:val="24"/>
          <w:szCs w:val="24"/>
        </w:rPr>
        <w:t>referring back</w:t>
      </w:r>
      <w:proofErr w:type="gramEnd"/>
      <w:r>
        <w:rPr>
          <w:sz w:val="24"/>
          <w:szCs w:val="24"/>
        </w:rPr>
        <w:t xml:space="preserve"> to our previous point on - investing in energy efficiency stimulates job creation in sectors such as construction, manufacturing, and services related to energy efficiency improvements.</w:t>
      </w:r>
    </w:p>
    <w:p w14:paraId="68B43871" w14:textId="77777777" w:rsidR="00BE0E57" w:rsidRDefault="00000000">
      <w:pPr>
        <w:spacing w:after="200" w:line="276" w:lineRule="auto"/>
        <w:jc w:val="both"/>
        <w:rPr>
          <w:sz w:val="24"/>
          <w:szCs w:val="24"/>
        </w:rPr>
      </w:pPr>
      <w:r>
        <w:rPr>
          <w:sz w:val="24"/>
          <w:szCs w:val="24"/>
        </w:rPr>
        <w:t>Upholding energy efficiency in residential buildings can significantly reduce energy costs for households, particularly benefiting low-income families thus alleviating energy poverty and improving living standards.</w:t>
      </w:r>
    </w:p>
    <w:p w14:paraId="64E64527" w14:textId="77777777" w:rsidR="00BE0E57" w:rsidRDefault="00000000">
      <w:pPr>
        <w:spacing w:after="200" w:line="276" w:lineRule="auto"/>
        <w:jc w:val="both"/>
        <w:rPr>
          <w:sz w:val="24"/>
          <w:szCs w:val="24"/>
        </w:rPr>
      </w:pPr>
      <w:r>
        <w:rPr>
          <w:sz w:val="24"/>
          <w:szCs w:val="24"/>
        </w:rPr>
        <w:t>Hungary has committed to reducing primary energy consumption by 8.4 million tonnes of oil equivalent by 2030. To meet this ambitious target, Hungary is implementing a range of policies and initiatives across various sectors:</w:t>
      </w:r>
    </w:p>
    <w:p w14:paraId="70F7DDE7" w14:textId="77777777" w:rsidR="00BE0E57" w:rsidRDefault="00000000">
      <w:pPr>
        <w:numPr>
          <w:ilvl w:val="0"/>
          <w:numId w:val="2"/>
        </w:numPr>
        <w:spacing w:after="200" w:line="276" w:lineRule="auto"/>
        <w:jc w:val="both"/>
        <w:rPr>
          <w:sz w:val="24"/>
          <w:szCs w:val="24"/>
        </w:rPr>
      </w:pPr>
      <w:r>
        <w:rPr>
          <w:sz w:val="24"/>
          <w:szCs w:val="24"/>
        </w:rPr>
        <w:t>Building Sector</w:t>
      </w:r>
    </w:p>
    <w:p w14:paraId="7008E6F8" w14:textId="77777777" w:rsidR="00BE0E57" w:rsidRDefault="00000000">
      <w:pPr>
        <w:numPr>
          <w:ilvl w:val="0"/>
          <w:numId w:val="12"/>
        </w:numPr>
        <w:spacing w:after="200" w:line="276" w:lineRule="auto"/>
        <w:jc w:val="both"/>
        <w:rPr>
          <w:sz w:val="24"/>
          <w:szCs w:val="24"/>
        </w:rPr>
      </w:pPr>
      <w:r>
        <w:rPr>
          <w:sz w:val="24"/>
          <w:szCs w:val="24"/>
        </w:rPr>
        <w:lastRenderedPageBreak/>
        <w:t>Energy-Efficient Renovations: Focusing on retrofitting existing residential and public buildings to improve insulation, replace windows and doors, and upgrade heating and cooling systems.</w:t>
      </w:r>
    </w:p>
    <w:p w14:paraId="2091A245" w14:textId="77777777" w:rsidR="00BE0E57" w:rsidRDefault="00000000">
      <w:pPr>
        <w:numPr>
          <w:ilvl w:val="0"/>
          <w:numId w:val="12"/>
        </w:numPr>
        <w:spacing w:after="200" w:line="276" w:lineRule="auto"/>
        <w:jc w:val="both"/>
        <w:rPr>
          <w:sz w:val="24"/>
          <w:szCs w:val="24"/>
        </w:rPr>
      </w:pPr>
      <w:r>
        <w:rPr>
          <w:sz w:val="24"/>
          <w:szCs w:val="24"/>
        </w:rPr>
        <w:t>Nearly Zero-Energy Buildings (NZEB): Setting stricter energy performance standards for new buildings to ensure they are highly energy-efficient and incorporate renewable energy sources.</w:t>
      </w:r>
    </w:p>
    <w:p w14:paraId="0E0AF362" w14:textId="77777777" w:rsidR="00BE0E57" w:rsidRDefault="00000000">
      <w:pPr>
        <w:numPr>
          <w:ilvl w:val="0"/>
          <w:numId w:val="2"/>
        </w:numPr>
        <w:spacing w:after="200" w:line="276" w:lineRule="auto"/>
        <w:jc w:val="both"/>
        <w:rPr>
          <w:sz w:val="24"/>
          <w:szCs w:val="24"/>
        </w:rPr>
      </w:pPr>
      <w:r>
        <w:rPr>
          <w:sz w:val="24"/>
          <w:szCs w:val="24"/>
        </w:rPr>
        <w:t>Industrial Sector</w:t>
      </w:r>
    </w:p>
    <w:p w14:paraId="5527A08F" w14:textId="77777777" w:rsidR="00BE0E57" w:rsidRDefault="00000000">
      <w:pPr>
        <w:numPr>
          <w:ilvl w:val="0"/>
          <w:numId w:val="7"/>
        </w:numPr>
        <w:spacing w:after="200" w:line="276" w:lineRule="auto"/>
        <w:jc w:val="both"/>
        <w:rPr>
          <w:sz w:val="24"/>
          <w:szCs w:val="24"/>
        </w:rPr>
      </w:pPr>
      <w:r>
        <w:rPr>
          <w:sz w:val="24"/>
          <w:szCs w:val="24"/>
        </w:rPr>
        <w:t>Energy Audits: Mandatory energy audits for large enterprises to identify opportunities for energy savings.</w:t>
      </w:r>
    </w:p>
    <w:p w14:paraId="6C47835C" w14:textId="77777777" w:rsidR="00BE0E57" w:rsidRDefault="00000000">
      <w:pPr>
        <w:numPr>
          <w:ilvl w:val="0"/>
          <w:numId w:val="7"/>
        </w:numPr>
        <w:spacing w:after="200" w:line="276" w:lineRule="auto"/>
        <w:jc w:val="both"/>
        <w:rPr>
          <w:sz w:val="24"/>
          <w:szCs w:val="24"/>
        </w:rPr>
      </w:pPr>
      <w:r>
        <w:rPr>
          <w:sz w:val="24"/>
          <w:szCs w:val="24"/>
        </w:rPr>
        <w:t>Financial Incentives: Grants and low-interest loans for small and medium-sized enterprises (SMEs) to invest in energy-efficient technologies and processes.</w:t>
      </w:r>
    </w:p>
    <w:p w14:paraId="0E875277" w14:textId="77777777" w:rsidR="00BE0E57" w:rsidRDefault="00000000">
      <w:pPr>
        <w:numPr>
          <w:ilvl w:val="0"/>
          <w:numId w:val="2"/>
        </w:numPr>
        <w:spacing w:after="200" w:line="276" w:lineRule="auto"/>
        <w:jc w:val="both"/>
        <w:rPr>
          <w:sz w:val="24"/>
          <w:szCs w:val="24"/>
        </w:rPr>
      </w:pPr>
      <w:r>
        <w:rPr>
          <w:sz w:val="24"/>
          <w:szCs w:val="24"/>
        </w:rPr>
        <w:t>Transport Sector</w:t>
      </w:r>
    </w:p>
    <w:p w14:paraId="78736463" w14:textId="77777777" w:rsidR="00BE0E57" w:rsidRDefault="00000000">
      <w:pPr>
        <w:numPr>
          <w:ilvl w:val="0"/>
          <w:numId w:val="14"/>
        </w:numPr>
        <w:spacing w:after="200" w:line="276" w:lineRule="auto"/>
        <w:jc w:val="both"/>
        <w:rPr>
          <w:sz w:val="24"/>
          <w:szCs w:val="24"/>
        </w:rPr>
      </w:pPr>
      <w:r>
        <w:rPr>
          <w:sz w:val="24"/>
          <w:szCs w:val="24"/>
        </w:rPr>
        <w:t>Promotion of Electric Vehicles (EVs): Under the Jedlik Ányos Plan, Hungary provides subsidies for purchasing EVs and invests in expanding the charging infrastructure.</w:t>
      </w:r>
    </w:p>
    <w:p w14:paraId="7DDF1CE7" w14:textId="77777777" w:rsidR="00BE0E57" w:rsidRDefault="00000000">
      <w:pPr>
        <w:numPr>
          <w:ilvl w:val="0"/>
          <w:numId w:val="14"/>
        </w:numPr>
        <w:spacing w:after="200" w:line="276" w:lineRule="auto"/>
        <w:jc w:val="both"/>
        <w:rPr>
          <w:sz w:val="24"/>
          <w:szCs w:val="24"/>
        </w:rPr>
      </w:pPr>
      <w:r>
        <w:rPr>
          <w:sz w:val="24"/>
          <w:szCs w:val="24"/>
        </w:rPr>
        <w:t>Public Transportation Improvements: Upgrading public transport systems to be more efficient and attractive to reduce reliance on private vehicles.</w:t>
      </w:r>
    </w:p>
    <w:p w14:paraId="7364BC55" w14:textId="77777777" w:rsidR="00BE0E57" w:rsidRDefault="00000000">
      <w:pPr>
        <w:numPr>
          <w:ilvl w:val="0"/>
          <w:numId w:val="2"/>
        </w:numPr>
        <w:spacing w:after="200" w:line="276" w:lineRule="auto"/>
        <w:jc w:val="both"/>
        <w:rPr>
          <w:sz w:val="24"/>
          <w:szCs w:val="24"/>
        </w:rPr>
      </w:pPr>
      <w:r>
        <w:rPr>
          <w:sz w:val="24"/>
          <w:szCs w:val="24"/>
        </w:rPr>
        <w:t>Energy Supply Sector</w:t>
      </w:r>
    </w:p>
    <w:p w14:paraId="7A99F0CD" w14:textId="77777777" w:rsidR="00BE0E57" w:rsidRDefault="00000000">
      <w:pPr>
        <w:numPr>
          <w:ilvl w:val="0"/>
          <w:numId w:val="6"/>
        </w:numPr>
        <w:spacing w:after="200" w:line="276" w:lineRule="auto"/>
        <w:jc w:val="both"/>
        <w:rPr>
          <w:sz w:val="24"/>
          <w:szCs w:val="24"/>
        </w:rPr>
      </w:pPr>
      <w:r>
        <w:rPr>
          <w:sz w:val="24"/>
          <w:szCs w:val="24"/>
        </w:rPr>
        <w:t>Modernising Power Plants: Upgrading existing power generation facilities to improve efficiency and reduce losses.</w:t>
      </w:r>
    </w:p>
    <w:p w14:paraId="7EB7E646" w14:textId="77777777" w:rsidR="00BE0E57" w:rsidRDefault="00000000">
      <w:pPr>
        <w:numPr>
          <w:ilvl w:val="0"/>
          <w:numId w:val="6"/>
        </w:numPr>
        <w:spacing w:after="200" w:line="276" w:lineRule="auto"/>
        <w:jc w:val="both"/>
        <w:rPr>
          <w:sz w:val="24"/>
          <w:szCs w:val="24"/>
        </w:rPr>
      </w:pPr>
      <w:r>
        <w:rPr>
          <w:sz w:val="24"/>
          <w:szCs w:val="24"/>
        </w:rPr>
        <w:t>District Heating Systems: Enhancing the efficiency of district heating networks and integrating renewable energy sources.</w:t>
      </w:r>
    </w:p>
    <w:p w14:paraId="700A0ABB" w14:textId="77777777" w:rsidR="00BE0E57" w:rsidRDefault="00000000">
      <w:pPr>
        <w:numPr>
          <w:ilvl w:val="0"/>
          <w:numId w:val="2"/>
        </w:numPr>
        <w:spacing w:after="200" w:line="276" w:lineRule="auto"/>
        <w:jc w:val="both"/>
        <w:rPr>
          <w:sz w:val="24"/>
          <w:szCs w:val="24"/>
        </w:rPr>
      </w:pPr>
      <w:r>
        <w:rPr>
          <w:sz w:val="24"/>
          <w:szCs w:val="24"/>
        </w:rPr>
        <w:t>Awareness and Education</w:t>
      </w:r>
    </w:p>
    <w:p w14:paraId="4C4A9926" w14:textId="77777777" w:rsidR="00BE0E57" w:rsidRDefault="00000000">
      <w:pPr>
        <w:numPr>
          <w:ilvl w:val="0"/>
          <w:numId w:val="8"/>
        </w:numPr>
        <w:spacing w:after="200" w:line="276" w:lineRule="auto"/>
        <w:jc w:val="both"/>
        <w:rPr>
          <w:sz w:val="24"/>
          <w:szCs w:val="24"/>
        </w:rPr>
      </w:pPr>
      <w:r>
        <w:rPr>
          <w:sz w:val="24"/>
          <w:szCs w:val="24"/>
        </w:rPr>
        <w:t>Public Awareness Campaigns: Educating citizens and businesses about the benefits of energy efficiency and ways to reduce energy consumption.</w:t>
      </w:r>
    </w:p>
    <w:p w14:paraId="64E23253" w14:textId="77777777" w:rsidR="00BE0E57" w:rsidRDefault="00000000">
      <w:pPr>
        <w:numPr>
          <w:ilvl w:val="0"/>
          <w:numId w:val="8"/>
        </w:numPr>
        <w:spacing w:after="200" w:line="276" w:lineRule="auto"/>
        <w:jc w:val="both"/>
        <w:rPr>
          <w:sz w:val="24"/>
          <w:szCs w:val="24"/>
        </w:rPr>
      </w:pPr>
      <w:r>
        <w:rPr>
          <w:sz w:val="24"/>
          <w:szCs w:val="24"/>
        </w:rPr>
        <w:t>Training Programs: Developing educational programs to train professionals in energy-efficient technologies and practices.</w:t>
      </w:r>
    </w:p>
    <w:p w14:paraId="54B18D17" w14:textId="77777777" w:rsidR="00BE0E57" w:rsidRDefault="00000000">
      <w:pPr>
        <w:spacing w:after="200" w:line="276" w:lineRule="auto"/>
        <w:jc w:val="both"/>
        <w:rPr>
          <w:sz w:val="24"/>
          <w:szCs w:val="24"/>
        </w:rPr>
      </w:pPr>
      <w:r>
        <w:rPr>
          <w:sz w:val="24"/>
          <w:szCs w:val="24"/>
        </w:rPr>
        <w:t>The European Investment Bank (EIB) also plays an active role in supporting Hungary’s national energy efficiency goals through a €300 million green loan dedicated to the Home Renovation Programme</w:t>
      </w:r>
      <w:r>
        <w:rPr>
          <w:sz w:val="24"/>
          <w:szCs w:val="24"/>
          <w:vertAlign w:val="superscript"/>
        </w:rPr>
        <w:footnoteReference w:id="8"/>
      </w:r>
      <w:r>
        <w:rPr>
          <w:sz w:val="24"/>
          <w:szCs w:val="24"/>
        </w:rPr>
        <w:t xml:space="preserve">. Launched in January 2021, this program offers reimbursements of up to 50% for renovation costs, with a cap of HUF 3 million (approximately €8,500) per household. The Home Renovation Programme focuses on energy efficiency refurbishments for residential buildings and </w:t>
      </w:r>
      <w:r>
        <w:rPr>
          <w:sz w:val="24"/>
          <w:szCs w:val="24"/>
        </w:rPr>
        <w:lastRenderedPageBreak/>
        <w:t>the installation of domestic renewable energy systems, aiming to significantly reduce household energy consumption and alleviate energy poverty, particularly among low-income families.</w:t>
      </w:r>
    </w:p>
    <w:p w14:paraId="3A7E9D9F" w14:textId="77777777" w:rsidR="00BE0E57" w:rsidRDefault="00000000">
      <w:pPr>
        <w:spacing w:after="200" w:line="276" w:lineRule="auto"/>
        <w:jc w:val="both"/>
        <w:rPr>
          <w:b/>
          <w:sz w:val="24"/>
          <w:szCs w:val="24"/>
        </w:rPr>
      </w:pPr>
      <w:r>
        <w:rPr>
          <w:sz w:val="24"/>
          <w:szCs w:val="24"/>
        </w:rPr>
        <w:t>In July 2023, the European Commission approved a €2.36 billion Hungarian scheme to support investments in strategic sectors critical to the green transition, including energy efficiency and renewable energy</w:t>
      </w:r>
      <w:r>
        <w:rPr>
          <w:sz w:val="24"/>
          <w:szCs w:val="24"/>
          <w:vertAlign w:val="superscript"/>
        </w:rPr>
        <w:footnoteReference w:id="9"/>
      </w:r>
      <w:r>
        <w:rPr>
          <w:sz w:val="24"/>
          <w:szCs w:val="24"/>
        </w:rPr>
        <w:t xml:space="preserve">. This scheme represents an investment in Hungary’s transition towards a net-zero economy by providing financial support for projects focused on energy efficiency and greenhouse gas emission reduction. In the same year, Hungary introduced several significant programs and initiatives aimed at enhancing its energy efficiency and aligning with European climate objectives. One notable development is the endorsement of Hungary’s </w:t>
      </w:r>
      <w:proofErr w:type="spellStart"/>
      <w:r>
        <w:rPr>
          <w:sz w:val="24"/>
          <w:szCs w:val="24"/>
        </w:rPr>
        <w:t>REPowerEU</w:t>
      </w:r>
      <w:proofErr w:type="spellEnd"/>
      <w:r>
        <w:rPr>
          <w:sz w:val="24"/>
          <w:szCs w:val="24"/>
        </w:rPr>
        <w:t xml:space="preserve"> chapter by the European Commission in October 2023</w:t>
      </w:r>
      <w:r>
        <w:rPr>
          <w:sz w:val="24"/>
          <w:szCs w:val="24"/>
          <w:vertAlign w:val="superscript"/>
        </w:rPr>
        <w:footnoteReference w:id="10"/>
      </w:r>
      <w:r>
        <w:rPr>
          <w:sz w:val="24"/>
          <w:szCs w:val="24"/>
        </w:rPr>
        <w:t xml:space="preserve">. </w:t>
      </w:r>
      <w:r w:rsidRPr="00105F7E">
        <w:rPr>
          <w:sz w:val="24"/>
          <w:szCs w:val="24"/>
          <w:highlight w:val="green"/>
        </w:rPr>
        <w:t>This €4.6 billion plan is designed to reduce Hungary's dependency on fossil fuels and accelerate the transition towards a greener energy system.</w:t>
      </w:r>
      <w:r>
        <w:rPr>
          <w:sz w:val="24"/>
          <w:szCs w:val="24"/>
        </w:rPr>
        <w:t xml:space="preserve"> Meaning: to expand renewable energy capacity, improve energy efficiency, and advance energy infrastructure. </w:t>
      </w:r>
      <w:r>
        <w:rPr>
          <w:b/>
          <w:sz w:val="24"/>
          <w:szCs w:val="24"/>
        </w:rPr>
        <w:t>As part of these objectives, Hungary has an ambitious target to increase the country’s renewable energy capacity to 12 GW by 2026, marking a substantial shift towards resilience.</w:t>
      </w:r>
    </w:p>
    <w:p w14:paraId="2671B6AD" w14:textId="77777777" w:rsidR="00BE0E57" w:rsidRDefault="00000000">
      <w:pPr>
        <w:spacing w:after="200" w:line="276" w:lineRule="auto"/>
        <w:jc w:val="both"/>
        <w:rPr>
          <w:sz w:val="24"/>
          <w:szCs w:val="24"/>
        </w:rPr>
      </w:pPr>
      <w:r>
        <w:rPr>
          <w:sz w:val="24"/>
          <w:szCs w:val="24"/>
        </w:rPr>
        <w:t xml:space="preserve">As previously mentioned, energy security is a critical component of Hungary's national strategy, given its historical dependency on imported energy, particularly natural gas from Russia. This poses significant risks to Hungary's economic stability and political autonomy. To enhance energy security, Hungary focuses on several key areas: </w:t>
      </w:r>
      <w:r w:rsidRPr="00105F7E">
        <w:rPr>
          <w:sz w:val="24"/>
          <w:szCs w:val="24"/>
          <w:highlight w:val="green"/>
        </w:rPr>
        <w:t>diversification of energy sources and routes, regional cooperation, increasing domestic energy production, and strategic energy storage</w:t>
      </w:r>
      <w:r>
        <w:rPr>
          <w:sz w:val="24"/>
          <w:szCs w:val="24"/>
        </w:rPr>
        <w:t>. These measures aim to reduce vulnerability to external shocks, ensure a stable energy supply, and support economic resilience.</w:t>
      </w:r>
    </w:p>
    <w:p w14:paraId="7379E37C" w14:textId="77777777" w:rsidR="00BE0E57" w:rsidRDefault="00000000">
      <w:pPr>
        <w:spacing w:after="200" w:line="276" w:lineRule="auto"/>
        <w:jc w:val="both"/>
        <w:rPr>
          <w:sz w:val="24"/>
          <w:szCs w:val="24"/>
        </w:rPr>
      </w:pPr>
      <w:r>
        <w:rPr>
          <w:sz w:val="24"/>
          <w:szCs w:val="24"/>
        </w:rPr>
        <w:t>Hungary's heavy reliance on Russian natural gas has long been a concern for national energy security. As of 2024, Hungary's reliance on Russian natural gas imports is still notably high, with approximately 95% of its natural gas imports originating from Russia</w:t>
      </w:r>
      <w:r>
        <w:rPr>
          <w:sz w:val="24"/>
          <w:szCs w:val="24"/>
          <w:vertAlign w:val="superscript"/>
        </w:rPr>
        <w:footnoteReference w:id="11"/>
      </w:r>
      <w:r>
        <w:rPr>
          <w:sz w:val="24"/>
          <w:szCs w:val="24"/>
          <w:vertAlign w:val="superscript"/>
        </w:rPr>
        <w:footnoteReference w:id="12"/>
      </w:r>
      <w:r>
        <w:rPr>
          <w:sz w:val="24"/>
          <w:szCs w:val="24"/>
        </w:rPr>
        <w:t xml:space="preserve">. This dependency has raised concerns regarding national energy security. To mitigate this dependency, </w:t>
      </w:r>
      <w:r w:rsidRPr="00105F7E">
        <w:rPr>
          <w:sz w:val="24"/>
          <w:szCs w:val="24"/>
          <w:highlight w:val="green"/>
        </w:rPr>
        <w:t>Hungary is on its way to diversify its energy sources and supply routes</w:t>
      </w:r>
      <w:r>
        <w:rPr>
          <w:sz w:val="24"/>
          <w:szCs w:val="24"/>
        </w:rPr>
        <w:t>.</w:t>
      </w:r>
    </w:p>
    <w:p w14:paraId="261907AE" w14:textId="77777777" w:rsidR="00BE0E57" w:rsidRDefault="00000000">
      <w:pPr>
        <w:spacing w:after="200" w:line="276" w:lineRule="auto"/>
        <w:jc w:val="both"/>
        <w:rPr>
          <w:b/>
          <w:sz w:val="24"/>
          <w:szCs w:val="24"/>
        </w:rPr>
      </w:pPr>
      <w:r>
        <w:rPr>
          <w:b/>
          <w:sz w:val="24"/>
          <w:szCs w:val="24"/>
        </w:rPr>
        <w:t xml:space="preserve">Liquefied Natural Gas (LNG) Imports via </w:t>
      </w:r>
      <w:proofErr w:type="spellStart"/>
      <w:r>
        <w:rPr>
          <w:b/>
          <w:sz w:val="24"/>
          <w:szCs w:val="24"/>
        </w:rPr>
        <w:t>Krk</w:t>
      </w:r>
      <w:proofErr w:type="spellEnd"/>
      <w:r>
        <w:rPr>
          <w:b/>
          <w:sz w:val="24"/>
          <w:szCs w:val="24"/>
        </w:rPr>
        <w:t xml:space="preserve"> Island: </w:t>
      </w:r>
      <w:r>
        <w:rPr>
          <w:sz w:val="24"/>
          <w:szCs w:val="24"/>
        </w:rPr>
        <w:t xml:space="preserve">This LNG terminal in Croatia, operational since January 2021, has significantly enhanced Central and Eastern Europe's energy diversification by enabling the import of LNG from global markets. The terminal's initial capacity was 2.9 billion cubic metres per year. Hungary has actively engaged with the </w:t>
      </w:r>
      <w:proofErr w:type="spellStart"/>
      <w:r>
        <w:rPr>
          <w:sz w:val="24"/>
          <w:szCs w:val="24"/>
        </w:rPr>
        <w:t>Krk</w:t>
      </w:r>
      <w:proofErr w:type="spellEnd"/>
      <w:r>
        <w:rPr>
          <w:sz w:val="24"/>
          <w:szCs w:val="24"/>
        </w:rPr>
        <w:t xml:space="preserve"> terminal to diversify its gas supply sources. In 2020, MFGK Croatia, a subsidiary of Hungary's state-owned energy group MVM, booked LNG regasification capacity of 6.75 </w:t>
      </w:r>
      <w:proofErr w:type="spellStart"/>
      <w:r>
        <w:rPr>
          <w:sz w:val="24"/>
          <w:szCs w:val="24"/>
        </w:rPr>
        <w:t>bcm</w:t>
      </w:r>
      <w:proofErr w:type="spellEnd"/>
      <w:r>
        <w:rPr>
          <w:sz w:val="24"/>
          <w:szCs w:val="24"/>
        </w:rPr>
        <w:t xml:space="preserve"> from 2021 until 2027</w:t>
      </w:r>
      <w:r>
        <w:rPr>
          <w:sz w:val="24"/>
          <w:szCs w:val="24"/>
          <w:vertAlign w:val="superscript"/>
        </w:rPr>
        <w:footnoteReference w:id="13"/>
      </w:r>
      <w:r>
        <w:rPr>
          <w:sz w:val="24"/>
          <w:szCs w:val="24"/>
        </w:rPr>
        <w:t xml:space="preserve">. Additionally, Hungary secured an agreement with Shell to purchase 250 million cubic metres of LNG annually for six </w:t>
      </w:r>
      <w:r>
        <w:rPr>
          <w:sz w:val="24"/>
          <w:szCs w:val="24"/>
        </w:rPr>
        <w:lastRenderedPageBreak/>
        <w:t xml:space="preserve">years via the </w:t>
      </w:r>
      <w:proofErr w:type="spellStart"/>
      <w:r>
        <w:rPr>
          <w:sz w:val="24"/>
          <w:szCs w:val="24"/>
        </w:rPr>
        <w:t>Krk</w:t>
      </w:r>
      <w:proofErr w:type="spellEnd"/>
      <w:r>
        <w:rPr>
          <w:sz w:val="24"/>
          <w:szCs w:val="24"/>
        </w:rPr>
        <w:t xml:space="preserve"> terminal</w:t>
      </w:r>
      <w:r>
        <w:rPr>
          <w:sz w:val="24"/>
          <w:szCs w:val="24"/>
          <w:vertAlign w:val="superscript"/>
        </w:rPr>
        <w:footnoteReference w:id="14"/>
      </w:r>
      <w:r>
        <w:rPr>
          <w:sz w:val="24"/>
          <w:szCs w:val="24"/>
        </w:rPr>
        <w:t xml:space="preserve">. To facilitate the efficient transport of LNG from </w:t>
      </w:r>
      <w:proofErr w:type="spellStart"/>
      <w:r>
        <w:rPr>
          <w:sz w:val="24"/>
          <w:szCs w:val="24"/>
        </w:rPr>
        <w:t>Krk</w:t>
      </w:r>
      <w:proofErr w:type="spellEnd"/>
      <w:r>
        <w:rPr>
          <w:sz w:val="24"/>
          <w:szCs w:val="24"/>
        </w:rPr>
        <w:t xml:space="preserve"> to Hungary, the existing Hungary-Croatia interconnector, operational since 2011, is undergoing significant upgrades. The </w:t>
      </w:r>
      <w:proofErr w:type="spellStart"/>
      <w:r>
        <w:rPr>
          <w:sz w:val="24"/>
          <w:szCs w:val="24"/>
        </w:rPr>
        <w:t>Bosiljevo</w:t>
      </w:r>
      <w:proofErr w:type="spellEnd"/>
      <w:r>
        <w:rPr>
          <w:sz w:val="24"/>
          <w:szCs w:val="24"/>
        </w:rPr>
        <w:t>-Sisak-</w:t>
      </w:r>
      <w:proofErr w:type="spellStart"/>
      <w:r>
        <w:rPr>
          <w:sz w:val="24"/>
          <w:szCs w:val="24"/>
        </w:rPr>
        <w:t>Kozarac</w:t>
      </w:r>
      <w:proofErr w:type="spellEnd"/>
      <w:r>
        <w:rPr>
          <w:sz w:val="24"/>
          <w:szCs w:val="24"/>
        </w:rPr>
        <w:t>-</w:t>
      </w:r>
      <w:proofErr w:type="spellStart"/>
      <w:r>
        <w:rPr>
          <w:sz w:val="24"/>
          <w:szCs w:val="24"/>
        </w:rPr>
        <w:t>Slobodnica</w:t>
      </w:r>
      <w:proofErr w:type="spellEnd"/>
      <w:r>
        <w:rPr>
          <w:sz w:val="24"/>
          <w:szCs w:val="24"/>
        </w:rPr>
        <w:t xml:space="preserve"> gas pipeline project aims to increase the interconnection's capacity to over 6.1 </w:t>
      </w:r>
      <w:proofErr w:type="spellStart"/>
      <w:r>
        <w:rPr>
          <w:sz w:val="24"/>
          <w:szCs w:val="24"/>
        </w:rPr>
        <w:t>bcm</w:t>
      </w:r>
      <w:proofErr w:type="spellEnd"/>
      <w:r>
        <w:rPr>
          <w:sz w:val="24"/>
          <w:szCs w:val="24"/>
        </w:rPr>
        <w:t xml:space="preserve"> per year</w:t>
      </w:r>
      <w:r>
        <w:rPr>
          <w:sz w:val="24"/>
          <w:szCs w:val="24"/>
          <w:vertAlign w:val="superscript"/>
        </w:rPr>
        <w:footnoteReference w:id="15"/>
      </w:r>
      <w:r>
        <w:rPr>
          <w:sz w:val="24"/>
          <w:szCs w:val="24"/>
        </w:rPr>
        <w:t xml:space="preserve">. This expansion is crucial for accommodating the increased gas flow from the </w:t>
      </w:r>
      <w:proofErr w:type="spellStart"/>
      <w:r>
        <w:rPr>
          <w:sz w:val="24"/>
          <w:szCs w:val="24"/>
        </w:rPr>
        <w:t>Krk</w:t>
      </w:r>
      <w:proofErr w:type="spellEnd"/>
      <w:r>
        <w:rPr>
          <w:sz w:val="24"/>
          <w:szCs w:val="24"/>
        </w:rPr>
        <w:t xml:space="preserve"> terminal into Hungary's network, with completion expected by early 2025</w:t>
      </w:r>
      <w:r>
        <w:rPr>
          <w:sz w:val="24"/>
          <w:szCs w:val="24"/>
          <w:vertAlign w:val="superscript"/>
        </w:rPr>
        <w:footnoteReference w:id="16"/>
      </w:r>
      <w:r>
        <w:rPr>
          <w:sz w:val="24"/>
          <w:szCs w:val="24"/>
        </w:rPr>
        <w:t>.</w:t>
      </w:r>
    </w:p>
    <w:p w14:paraId="29486CF6" w14:textId="77777777" w:rsidR="00BE0E57" w:rsidRDefault="00000000">
      <w:pPr>
        <w:spacing w:after="200" w:line="276" w:lineRule="auto"/>
        <w:jc w:val="both"/>
        <w:rPr>
          <w:sz w:val="24"/>
          <w:szCs w:val="24"/>
        </w:rPr>
      </w:pPr>
      <w:r>
        <w:rPr>
          <w:b/>
          <w:sz w:val="24"/>
          <w:szCs w:val="24"/>
        </w:rPr>
        <w:t>Hungary-Slovakia Interconnector:</w:t>
      </w:r>
      <w:r>
        <w:rPr>
          <w:sz w:val="24"/>
          <w:szCs w:val="24"/>
        </w:rPr>
        <w:t xml:space="preserve"> Operational since 2015, facilitates bidirectional natural gas flow between the two countries, enhancing regional energy security and market integration. In February 2024, the interconnection capacity was increased by 50% to 2.63 billion cubic metres per annum in the Hungary-to-Slovakia direction, reflecting growing market demand</w:t>
      </w:r>
      <w:r>
        <w:rPr>
          <w:sz w:val="24"/>
          <w:szCs w:val="24"/>
          <w:vertAlign w:val="superscript"/>
        </w:rPr>
        <w:footnoteReference w:id="17"/>
      </w:r>
      <w:r>
        <w:rPr>
          <w:sz w:val="24"/>
          <w:szCs w:val="24"/>
        </w:rPr>
        <w:t>.</w:t>
      </w:r>
    </w:p>
    <w:p w14:paraId="5A88EF89" w14:textId="77777777" w:rsidR="00BE0E57" w:rsidRDefault="00000000">
      <w:pPr>
        <w:spacing w:after="200" w:line="276" w:lineRule="auto"/>
        <w:jc w:val="both"/>
        <w:rPr>
          <w:sz w:val="24"/>
          <w:szCs w:val="24"/>
        </w:rPr>
      </w:pPr>
      <w:r>
        <w:rPr>
          <w:b/>
          <w:sz w:val="24"/>
          <w:szCs w:val="24"/>
        </w:rPr>
        <w:t>Hungary-Romania Interconnector:</w:t>
      </w:r>
      <w:r>
        <w:rPr>
          <w:sz w:val="24"/>
          <w:szCs w:val="24"/>
        </w:rPr>
        <w:t xml:space="preserve"> Is a key component of the BRUA corridor (Bulgaria-Romania-Hungary-Austria), designed to transport gas from the Black Sea region and the Caspian Basin to Central Europe, thereby diversifying supply sources. In November 2023, Hungary and Romania agreed to boost the interconnector's capacity, enabling Hungary to access more gas from Romania's Baltic Sea gas fields</w:t>
      </w:r>
      <w:r>
        <w:rPr>
          <w:sz w:val="24"/>
          <w:szCs w:val="24"/>
          <w:vertAlign w:val="superscript"/>
        </w:rPr>
        <w:footnoteReference w:id="18"/>
      </w:r>
      <w:r>
        <w:rPr>
          <w:sz w:val="24"/>
          <w:szCs w:val="24"/>
        </w:rPr>
        <w:t xml:space="preserve">. In April 2024, the </w:t>
      </w:r>
      <w:proofErr w:type="gramStart"/>
      <w:r>
        <w:rPr>
          <w:sz w:val="24"/>
          <w:szCs w:val="24"/>
        </w:rPr>
        <w:t>Slovak-Hungarian</w:t>
      </w:r>
      <w:proofErr w:type="gramEnd"/>
      <w:r>
        <w:rPr>
          <w:sz w:val="24"/>
          <w:szCs w:val="24"/>
        </w:rPr>
        <w:t xml:space="preserve"> interconnector received pipeline capacity increase between Hungary and Romania, further strengthening regional energy cooperation.</w:t>
      </w:r>
    </w:p>
    <w:p w14:paraId="525A3043" w14:textId="77777777" w:rsidR="00BE0E57" w:rsidRDefault="00000000">
      <w:pPr>
        <w:spacing w:after="200" w:line="276" w:lineRule="auto"/>
        <w:jc w:val="both"/>
        <w:rPr>
          <w:sz w:val="24"/>
          <w:szCs w:val="24"/>
        </w:rPr>
      </w:pPr>
      <w:r>
        <w:rPr>
          <w:b/>
          <w:sz w:val="24"/>
          <w:szCs w:val="24"/>
        </w:rPr>
        <w:t>Southern Gas Corridor Connection:</w:t>
      </w:r>
      <w:r>
        <w:rPr>
          <w:sz w:val="24"/>
          <w:szCs w:val="24"/>
        </w:rPr>
        <w:t xml:space="preserve"> In June 2024, Hungary's state-owned energy group, MVM, signed an agreement with Azerbaijan's Southern Gas Corridor CJSC to acquire a 5% stake in the Shah Deniz gas field, one of the world's largest deep-water gas fields operated by BP</w:t>
      </w:r>
      <w:r>
        <w:rPr>
          <w:sz w:val="24"/>
          <w:szCs w:val="24"/>
          <w:vertAlign w:val="superscript"/>
        </w:rPr>
        <w:footnoteReference w:id="19"/>
      </w:r>
      <w:r>
        <w:rPr>
          <w:sz w:val="24"/>
          <w:szCs w:val="24"/>
        </w:rPr>
        <w:t>. This investment grants Hungary access to substantial volumes of natural gas, enhancing its energy security. In March 2024, representatives from 23 countries, including Hungary, met in Baku to discuss increasing the corridor's capacity, underscoring its importance in diversifying gas supplies to Europe.</w:t>
      </w:r>
    </w:p>
    <w:p w14:paraId="68FA5DD8" w14:textId="77777777" w:rsidR="00BE0E57" w:rsidRDefault="00000000">
      <w:pPr>
        <w:spacing w:after="200" w:line="276" w:lineRule="auto"/>
        <w:jc w:val="both"/>
        <w:rPr>
          <w:sz w:val="24"/>
          <w:szCs w:val="24"/>
        </w:rPr>
      </w:pPr>
      <w:r>
        <w:rPr>
          <w:sz w:val="24"/>
          <w:szCs w:val="24"/>
        </w:rPr>
        <w:t xml:space="preserve">Despite these efforts, Hungary continues to import significant volumes of natural gas from Russia. </w:t>
      </w:r>
      <w:r>
        <w:rPr>
          <w:b/>
          <w:sz w:val="24"/>
          <w:szCs w:val="24"/>
        </w:rPr>
        <w:t>In 2024, Hungary received 4.5 billion cubic metres of gas annually under a long-term deal signed in 2021.</w:t>
      </w:r>
      <w:r>
        <w:rPr>
          <w:sz w:val="24"/>
          <w:szCs w:val="24"/>
        </w:rPr>
        <w:t xml:space="preserve"> Additionally, </w:t>
      </w:r>
      <w:r>
        <w:rPr>
          <w:i/>
          <w:sz w:val="24"/>
          <w:szCs w:val="24"/>
        </w:rPr>
        <w:t>Hungary's energy security chief has criticised the EU for insufficient support in helping smaller, landlocked countries</w:t>
      </w:r>
      <w:r>
        <w:rPr>
          <w:i/>
          <w:sz w:val="24"/>
          <w:szCs w:val="24"/>
          <w:vertAlign w:val="superscript"/>
        </w:rPr>
        <w:footnoteReference w:id="20"/>
      </w:r>
      <w:r>
        <w:rPr>
          <w:sz w:val="24"/>
          <w:szCs w:val="24"/>
        </w:rPr>
        <w:t xml:space="preserve"> like Hungary diversify their energy sources.</w:t>
      </w:r>
    </w:p>
    <w:p w14:paraId="67EF09B3" w14:textId="77777777" w:rsidR="00BE0E57" w:rsidRDefault="00000000">
      <w:pPr>
        <w:spacing w:after="200" w:line="276" w:lineRule="auto"/>
        <w:jc w:val="both"/>
        <w:rPr>
          <w:sz w:val="24"/>
          <w:szCs w:val="24"/>
        </w:rPr>
      </w:pPr>
      <w:r>
        <w:rPr>
          <w:sz w:val="24"/>
          <w:szCs w:val="24"/>
        </w:rPr>
        <w:t xml:space="preserve">Hungary recognised that regional collaboration is essential for achieving energy security and market efficiency. The Central and </w:t>
      </w:r>
      <w:proofErr w:type="gramStart"/>
      <w:r>
        <w:rPr>
          <w:sz w:val="24"/>
          <w:szCs w:val="24"/>
        </w:rPr>
        <w:t>South Eastern</w:t>
      </w:r>
      <w:proofErr w:type="gramEnd"/>
      <w:r>
        <w:rPr>
          <w:sz w:val="24"/>
          <w:szCs w:val="24"/>
        </w:rPr>
        <w:t xml:space="preserve"> Europe Energy Connectivity (CESEC) initiative, launched by the European Commission in 2015</w:t>
      </w:r>
      <w:r>
        <w:rPr>
          <w:sz w:val="24"/>
          <w:szCs w:val="24"/>
          <w:vertAlign w:val="superscript"/>
        </w:rPr>
        <w:footnoteReference w:id="21"/>
      </w:r>
      <w:r>
        <w:rPr>
          <w:sz w:val="24"/>
          <w:szCs w:val="24"/>
        </w:rPr>
        <w:t xml:space="preserve">, brings together countries in Central and South </w:t>
      </w:r>
      <w:r>
        <w:rPr>
          <w:sz w:val="24"/>
          <w:szCs w:val="24"/>
        </w:rPr>
        <w:lastRenderedPageBreak/>
        <w:t xml:space="preserve">Eastern Europe to coordinate efforts in energy infrastructure development and market integration. As part of the </w:t>
      </w:r>
      <w:proofErr w:type="spellStart"/>
      <w:r>
        <w:rPr>
          <w:sz w:val="24"/>
          <w:szCs w:val="24"/>
        </w:rPr>
        <w:t>Visegrád</w:t>
      </w:r>
      <w:proofErr w:type="spellEnd"/>
      <w:r>
        <w:rPr>
          <w:sz w:val="24"/>
          <w:szCs w:val="24"/>
        </w:rPr>
        <w:t xml:space="preserve"> Group (V4) alongside Czechia, Poland, and Slovakia, Hungary collaborates on energy policy matters, including regional energy market development and joint energy projects. </w:t>
      </w:r>
    </w:p>
    <w:p w14:paraId="5853F6E3" w14:textId="77777777" w:rsidR="00BE0E57" w:rsidRDefault="00000000">
      <w:pPr>
        <w:spacing w:after="200" w:line="276" w:lineRule="auto"/>
        <w:jc w:val="both"/>
        <w:rPr>
          <w:sz w:val="24"/>
          <w:szCs w:val="24"/>
        </w:rPr>
      </w:pPr>
      <w:r>
        <w:rPr>
          <w:sz w:val="24"/>
          <w:szCs w:val="24"/>
        </w:rPr>
        <w:t>Hungary actively participates in regional electricity market coupling initiatives to facilitate efficient cross-border electricity trade. One such initiative is the 4M Market Coupling (4M MC), which includes Hungary, Czechia, Slovakia, and Romania. Launched in 2014, the 4M MC aims to integrate the day-ahead electricity markets of the participating countries, allowing for cross-border capacity optimisation, price convergence and market efficiency</w:t>
      </w:r>
      <w:r>
        <w:rPr>
          <w:sz w:val="24"/>
          <w:szCs w:val="24"/>
          <w:vertAlign w:val="superscript"/>
        </w:rPr>
        <w:footnoteReference w:id="22"/>
      </w:r>
      <w:r>
        <w:rPr>
          <w:sz w:val="24"/>
          <w:szCs w:val="24"/>
        </w:rPr>
        <w:t>. In 2021, the 4M MC was integrated into the Interim Coupling Project, which connects the 4M MC with the larger Multi-Regional Coupling (MRC)</w:t>
      </w:r>
      <w:r>
        <w:rPr>
          <w:sz w:val="24"/>
          <w:szCs w:val="24"/>
          <w:vertAlign w:val="superscript"/>
        </w:rPr>
        <w:footnoteReference w:id="23"/>
      </w:r>
      <w:r>
        <w:rPr>
          <w:sz w:val="24"/>
          <w:szCs w:val="24"/>
        </w:rPr>
        <w:t>, further expanding market integration across Europe.</w:t>
      </w:r>
    </w:p>
    <w:p w14:paraId="28333AA8" w14:textId="77777777" w:rsidR="00BE0E57" w:rsidRDefault="00000000">
      <w:pPr>
        <w:spacing w:after="200" w:line="276" w:lineRule="auto"/>
        <w:jc w:val="both"/>
        <w:rPr>
          <w:sz w:val="24"/>
          <w:szCs w:val="24"/>
        </w:rPr>
      </w:pPr>
      <w:r>
        <w:rPr>
          <w:sz w:val="24"/>
          <w:szCs w:val="24"/>
        </w:rPr>
        <w:t xml:space="preserve">Since 2022, Hungary has prioritised diversifying its energy sources and increasing domestic production, especially through renewable sources like solar and wind energy, in response to global energy challenges. </w:t>
      </w:r>
      <w:r>
        <w:rPr>
          <w:b/>
          <w:sz w:val="24"/>
          <w:szCs w:val="24"/>
        </w:rPr>
        <w:t xml:space="preserve">In 2023, Hungary set new national targets for renewable energy integration, with a significant emphasis on </w:t>
      </w:r>
      <w:r w:rsidRPr="00105F7E">
        <w:rPr>
          <w:b/>
          <w:sz w:val="24"/>
          <w:szCs w:val="24"/>
          <w:highlight w:val="green"/>
        </w:rPr>
        <w:t>grid modernisation and storage capacity, ensuring a resilient and flexible energy syste</w:t>
      </w:r>
      <w:r>
        <w:rPr>
          <w:b/>
          <w:sz w:val="24"/>
          <w:szCs w:val="24"/>
        </w:rPr>
        <w:t>m</w:t>
      </w:r>
      <w:r>
        <w:rPr>
          <w:b/>
          <w:sz w:val="24"/>
          <w:szCs w:val="24"/>
          <w:vertAlign w:val="superscript"/>
        </w:rPr>
        <w:footnoteReference w:id="24"/>
      </w:r>
      <w:r>
        <w:rPr>
          <w:b/>
          <w:sz w:val="24"/>
          <w:szCs w:val="24"/>
        </w:rPr>
        <w:t>.</w:t>
      </w:r>
      <w:r>
        <w:rPr>
          <w:sz w:val="24"/>
          <w:szCs w:val="24"/>
        </w:rPr>
        <w:t xml:space="preserve"> Hungary is also advancing its integration into the European energy market, a goal that supports increased competition, energy security, and consumer benefits. </w:t>
      </w:r>
      <w:r>
        <w:rPr>
          <w:i/>
          <w:sz w:val="24"/>
          <w:szCs w:val="24"/>
        </w:rPr>
        <w:t>In 2023, the country joined initiatives under the European Green Deal framework</w:t>
      </w:r>
      <w:r>
        <w:rPr>
          <w:sz w:val="24"/>
          <w:szCs w:val="24"/>
        </w:rPr>
        <w:t xml:space="preserve"> to align with the EU’s climate and energy targets, focusing on infrastructure development, regional interconnections, and regulatory harmonisation to facilitate renewable energy exchange and trade.</w:t>
      </w:r>
    </w:p>
    <w:p w14:paraId="505E10DA" w14:textId="77777777" w:rsidR="00BE0E57" w:rsidRDefault="00000000">
      <w:pPr>
        <w:spacing w:after="200" w:line="276" w:lineRule="auto"/>
        <w:jc w:val="both"/>
        <w:rPr>
          <w:sz w:val="24"/>
          <w:szCs w:val="24"/>
        </w:rPr>
      </w:pPr>
      <w:r>
        <w:rPr>
          <w:sz w:val="24"/>
          <w:szCs w:val="24"/>
        </w:rPr>
        <w:t xml:space="preserve">Up until this point, we examined various energy production methods, though we provided limited detail on the often socially divisive </w:t>
      </w:r>
      <w:r w:rsidRPr="00105F7E">
        <w:rPr>
          <w:sz w:val="24"/>
          <w:szCs w:val="24"/>
          <w:highlight w:val="green"/>
        </w:rPr>
        <w:t xml:space="preserve">topic of </w:t>
      </w:r>
      <w:r w:rsidRPr="00105F7E">
        <w:rPr>
          <w:b/>
          <w:sz w:val="24"/>
          <w:szCs w:val="24"/>
          <w:highlight w:val="green"/>
        </w:rPr>
        <w:t>nuclear energy development</w:t>
      </w:r>
      <w:r w:rsidRPr="00105F7E">
        <w:rPr>
          <w:sz w:val="24"/>
          <w:szCs w:val="24"/>
          <w:highlight w:val="green"/>
        </w:rPr>
        <w:t xml:space="preserve"> and</w:t>
      </w:r>
      <w:r>
        <w:rPr>
          <w:sz w:val="24"/>
          <w:szCs w:val="24"/>
        </w:rPr>
        <w:t xml:space="preserve"> Hungary’s standing on this topic. Nuclear energy plays a significant</w:t>
      </w:r>
      <w:r>
        <w:rPr>
          <w:sz w:val="24"/>
          <w:szCs w:val="24"/>
          <w:vertAlign w:val="superscript"/>
        </w:rPr>
        <w:footnoteReference w:id="25"/>
      </w:r>
      <w:r>
        <w:rPr>
          <w:sz w:val="24"/>
          <w:szCs w:val="24"/>
        </w:rPr>
        <w:t xml:space="preserve"> and highly debated role in Hungary's electricity generation, accounting for approximately 50% of the country's total electricity production</w:t>
      </w:r>
      <w:r>
        <w:rPr>
          <w:sz w:val="24"/>
          <w:szCs w:val="24"/>
          <w:vertAlign w:val="superscript"/>
        </w:rPr>
        <w:footnoteReference w:id="26"/>
      </w:r>
      <w:r>
        <w:rPr>
          <w:sz w:val="24"/>
          <w:szCs w:val="24"/>
        </w:rPr>
        <w:t xml:space="preserve">. The sole nuclear power facility, the Paks Nuclear Power Plant, has been operational since the 1980s and is the current and trusted bulwark of Hungary's energy infrastructure. To maintain and enhance this capacity, Hungary has an ongoing project called, </w:t>
      </w:r>
      <w:r>
        <w:rPr>
          <w:sz w:val="24"/>
          <w:szCs w:val="24"/>
          <w:u w:val="single"/>
        </w:rPr>
        <w:t>Paks II Nuclear Power Plant project</w:t>
      </w:r>
      <w:r>
        <w:rPr>
          <w:sz w:val="24"/>
          <w:szCs w:val="24"/>
          <w:vertAlign w:val="superscript"/>
        </w:rPr>
        <w:footnoteReference w:id="27"/>
      </w:r>
      <w:r>
        <w:rPr>
          <w:sz w:val="24"/>
          <w:szCs w:val="24"/>
        </w:rPr>
        <w:t>.</w:t>
      </w:r>
    </w:p>
    <w:p w14:paraId="43B96286" w14:textId="77777777" w:rsidR="00BE0E57" w:rsidRDefault="00000000">
      <w:pPr>
        <w:spacing w:after="200" w:line="276" w:lineRule="auto"/>
        <w:jc w:val="both"/>
        <w:rPr>
          <w:sz w:val="24"/>
          <w:szCs w:val="24"/>
        </w:rPr>
      </w:pPr>
      <w:r>
        <w:rPr>
          <w:sz w:val="24"/>
          <w:szCs w:val="24"/>
        </w:rPr>
        <w:t xml:space="preserve">The Paks II project involves the addition of two new VVER-1200 reactors, each with a capacity of 1,200 MW, resulting in a combined capacity of 2,400 MW. These reactors are of the latest Generation III+ design, featuring advanced safety systems, improved efficiency, and enhanced </w:t>
      </w:r>
      <w:r>
        <w:rPr>
          <w:sz w:val="24"/>
          <w:szCs w:val="24"/>
        </w:rPr>
        <w:lastRenderedPageBreak/>
        <w:t xml:space="preserve">operational flexibility. The new reactors are intended to replace the existing four VVER-440 reactors at the Paks plant, which are approaching the end of their extended operational lifespans. </w:t>
      </w:r>
    </w:p>
    <w:p w14:paraId="3A0574AA" w14:textId="77777777" w:rsidR="00BE0E57" w:rsidRDefault="00BE0E57">
      <w:pPr>
        <w:spacing w:after="0" w:line="276" w:lineRule="auto"/>
        <w:jc w:val="both"/>
        <w:rPr>
          <w:sz w:val="24"/>
          <w:szCs w:val="24"/>
        </w:rPr>
      </w:pPr>
    </w:p>
    <w:p w14:paraId="7E596A42" w14:textId="77777777" w:rsidR="00BE0E57" w:rsidRDefault="00000000">
      <w:pPr>
        <w:numPr>
          <w:ilvl w:val="0"/>
          <w:numId w:val="5"/>
        </w:numPr>
        <w:spacing w:after="200" w:line="276" w:lineRule="auto"/>
        <w:jc w:val="both"/>
        <w:rPr>
          <w:sz w:val="24"/>
          <w:szCs w:val="24"/>
        </w:rPr>
      </w:pPr>
      <w:r>
        <w:rPr>
          <w:sz w:val="24"/>
          <w:szCs w:val="24"/>
        </w:rPr>
        <w:t xml:space="preserve">Stable and reliable energy supply: Nuclear energy offers predictable generation, reducing reliance on imported fossil fuels and exposure to volatile energy markets </w:t>
      </w:r>
    </w:p>
    <w:p w14:paraId="474E5146" w14:textId="77777777" w:rsidR="00BE0E57" w:rsidRDefault="00000000">
      <w:pPr>
        <w:numPr>
          <w:ilvl w:val="0"/>
          <w:numId w:val="5"/>
        </w:numPr>
        <w:spacing w:after="200" w:line="276" w:lineRule="auto"/>
        <w:jc w:val="both"/>
        <w:rPr>
          <w:rFonts w:ascii="Times New Roman" w:eastAsia="Times New Roman" w:hAnsi="Times New Roman" w:cs="Times New Roman"/>
          <w:sz w:val="24"/>
          <w:szCs w:val="24"/>
        </w:rPr>
      </w:pPr>
      <w:r>
        <w:rPr>
          <w:sz w:val="24"/>
          <w:szCs w:val="24"/>
        </w:rPr>
        <w:t>Low-Carbon Emissions:</w:t>
      </w:r>
      <w:r>
        <w:rPr>
          <w:b/>
          <w:sz w:val="24"/>
          <w:szCs w:val="24"/>
        </w:rPr>
        <w:t xml:space="preserve"> </w:t>
      </w:r>
      <w:r>
        <w:rPr>
          <w:sz w:val="24"/>
          <w:szCs w:val="24"/>
        </w:rPr>
        <w:t xml:space="preserve">Expanding nuclear capacity aligns with Hungary's commitment to decarbonisation and climate neutrality. Nuclear power is a low-carbon energy source, emitting minimal greenhouse gases during operation. </w:t>
      </w:r>
    </w:p>
    <w:p w14:paraId="2290C878" w14:textId="77777777" w:rsidR="00BE0E57" w:rsidRDefault="00000000">
      <w:pPr>
        <w:numPr>
          <w:ilvl w:val="0"/>
          <w:numId w:val="5"/>
        </w:numPr>
        <w:spacing w:after="200" w:line="276" w:lineRule="auto"/>
        <w:jc w:val="both"/>
        <w:rPr>
          <w:sz w:val="24"/>
          <w:szCs w:val="24"/>
        </w:rPr>
      </w:pPr>
      <w:r>
        <w:rPr>
          <w:sz w:val="24"/>
          <w:szCs w:val="24"/>
        </w:rPr>
        <w:t>Complementarity with Renewable Energy: A robust and well-operating nuclear energy sector complements the growth of renewable energy, facilitates the integration of more renewable sources into the energy mix while maintaining grid stability.</w:t>
      </w:r>
    </w:p>
    <w:p w14:paraId="2767557F" w14:textId="77777777" w:rsidR="00BE0E57" w:rsidRDefault="00000000">
      <w:pPr>
        <w:spacing w:after="200" w:line="276" w:lineRule="auto"/>
        <w:jc w:val="both"/>
        <w:rPr>
          <w:sz w:val="24"/>
          <w:szCs w:val="24"/>
        </w:rPr>
      </w:pPr>
      <w:r>
        <w:rPr>
          <w:sz w:val="24"/>
          <w:szCs w:val="24"/>
        </w:rPr>
        <w:t>The Paks II project faced many challenges over its compliance with European Union competition and procurement laws. Concerns were raised regarding whether the financial arrangements constituted unfair state aid that could distort competition in the energy market. The public procurement procedures surrounding this project also went under scrutiny. The direct awarding of the contract to Rosatom without a competitive tender naturally raised some questions about transparency and adherence to EU procurement directives. After an in-depth investigation, the European Commission approved the project in March 2017</w:t>
      </w:r>
      <w:r>
        <w:rPr>
          <w:sz w:val="24"/>
          <w:szCs w:val="24"/>
          <w:vertAlign w:val="superscript"/>
        </w:rPr>
        <w:footnoteReference w:id="28"/>
      </w:r>
      <w:r>
        <w:rPr>
          <w:sz w:val="24"/>
          <w:szCs w:val="24"/>
        </w:rPr>
        <w:t>, concluding that the investment complies with EU state aid rules, as the support is limited to what is necessary and does not unduly distort competition and Hungary committed to several measures to mitigate potential market distortions, including limitations on profit levels and ensuring that any excess profits would benefit the state</w:t>
      </w:r>
    </w:p>
    <w:p w14:paraId="4247C1ED" w14:textId="77777777" w:rsidR="00BE0E57" w:rsidRDefault="00000000">
      <w:pPr>
        <w:spacing w:after="200" w:line="276" w:lineRule="auto"/>
        <w:jc w:val="both"/>
        <w:rPr>
          <w:sz w:val="24"/>
          <w:szCs w:val="24"/>
        </w:rPr>
      </w:pPr>
      <w:r>
        <w:rPr>
          <w:sz w:val="24"/>
          <w:szCs w:val="24"/>
        </w:rPr>
        <w:t xml:space="preserve">The project has also experienced delays due to rigorous regulatory reviews to ensure compliance with international safety standards. The geopolitical situation, particularly following Russia's invasion of Ukraine in 2022, has also intensified scrutiny of the Paks II project. Critics argued that the project increases Hungary's energy dependence on Russia, potentially compromising national security and energy independence. Not to forget about the </w:t>
      </w:r>
      <w:proofErr w:type="gramStart"/>
      <w:r>
        <w:rPr>
          <w:sz w:val="24"/>
          <w:szCs w:val="24"/>
        </w:rPr>
        <w:t>in force</w:t>
      </w:r>
      <w:proofErr w:type="gramEnd"/>
      <w:r>
        <w:rPr>
          <w:sz w:val="24"/>
          <w:szCs w:val="24"/>
        </w:rPr>
        <w:t xml:space="preserve"> EU sanctions, although the nuclear energy cooperation is not directly targeted by them, there are still concerns about potential future restrictions affecting project implementation of the project. Environmental organisations and some segments of the public were and still are heavily opposed to the project due to nuclear safety risks, radioactive waste management and other unexploited renewable energy alternatives. </w:t>
      </w:r>
    </w:p>
    <w:p w14:paraId="55E7844D" w14:textId="77777777" w:rsidR="00BE0E57" w:rsidRDefault="00000000">
      <w:pPr>
        <w:spacing w:after="200" w:line="276" w:lineRule="auto"/>
        <w:jc w:val="both"/>
        <w:rPr>
          <w:sz w:val="24"/>
          <w:szCs w:val="24"/>
        </w:rPr>
      </w:pPr>
      <w:r>
        <w:rPr>
          <w:sz w:val="24"/>
          <w:szCs w:val="24"/>
        </w:rPr>
        <w:t xml:space="preserve">Hungary and Russia, the primary partners in the Paks II project, agreed in 2023 to modify their initial construction and financing contracts, which were established in 2014. The amendments account for technological advancements, regulatory changes, and geopolitical considerations that have emerged over the nearly decade-long project timeline. Both parties have emphasised that </w:t>
      </w:r>
      <w:r>
        <w:rPr>
          <w:sz w:val="24"/>
          <w:szCs w:val="24"/>
        </w:rPr>
        <w:lastRenderedPageBreak/>
        <w:t>these updates will support the timely and efficient completion of the Paks II project while upholding international standards for nuclear safety and transparency. In May 2023, the European Commission granted approval for amendments to the construction and financing contracts of the Paks II Nuclear Power Plant project.</w:t>
      </w:r>
      <w:r>
        <w:rPr>
          <w:sz w:val="24"/>
          <w:szCs w:val="24"/>
          <w:vertAlign w:val="superscript"/>
        </w:rPr>
        <w:footnoteReference w:id="29"/>
      </w:r>
      <w:r>
        <w:rPr>
          <w:sz w:val="24"/>
          <w:szCs w:val="24"/>
        </w:rPr>
        <w:t xml:space="preserve"> This approval was followed by an extensive review to ensure that the updates </w:t>
      </w:r>
      <w:proofErr w:type="gramStart"/>
      <w:r>
        <w:rPr>
          <w:sz w:val="24"/>
          <w:szCs w:val="24"/>
        </w:rPr>
        <w:t>were in compliance with</w:t>
      </w:r>
      <w:proofErr w:type="gramEnd"/>
      <w:r>
        <w:rPr>
          <w:sz w:val="24"/>
          <w:szCs w:val="24"/>
        </w:rPr>
        <w:t xml:space="preserve"> EU competition and procurement laws.</w:t>
      </w:r>
    </w:p>
    <w:p w14:paraId="2DCB6AB2" w14:textId="77777777" w:rsidR="00BE0E57" w:rsidRDefault="00000000">
      <w:pPr>
        <w:spacing w:after="200" w:line="276" w:lineRule="auto"/>
        <w:jc w:val="both"/>
        <w:rPr>
          <w:sz w:val="24"/>
          <w:szCs w:val="24"/>
        </w:rPr>
      </w:pPr>
      <w:r>
        <w:rPr>
          <w:sz w:val="24"/>
          <w:szCs w:val="24"/>
        </w:rPr>
        <w:t>In July 2024, Hungary proposed allowing the existing Paks plant to exceed the Danube River's water temperature limit during critical periods to ensure a stable energy supply, highlighting the challenges posed by climate change.</w:t>
      </w:r>
      <w:r>
        <w:rPr>
          <w:sz w:val="24"/>
          <w:szCs w:val="24"/>
          <w:vertAlign w:val="superscript"/>
        </w:rPr>
        <w:footnoteReference w:id="30"/>
      </w:r>
      <w:r>
        <w:rPr>
          <w:sz w:val="24"/>
          <w:szCs w:val="24"/>
        </w:rPr>
        <w:t xml:space="preserve"> The increased frequency and intensity of heatwaves, combined with lower river water levels, have raised concerns about cooling efficiency at nuclear facilities. In instances of prolonged high temperatures, meeting the standard temperature limits for discharge water could hinder the plant’s ability to operate at full capacity, potentially impacting Hungary’s electricity supply. Hungarian authorities are considering implementing safeguards to minimise the environmental impact, including monitoring the ecosystem’s response and limiting duration to prevent long-term ecological damage. The government also aims to collaborate with environmental organisations to ensure that any temporary adjustments will not irreparably harm the river’s biodiversity, which is crucial for Hungary’s natural heritage.</w:t>
      </w:r>
    </w:p>
    <w:p w14:paraId="6FC8F7A4" w14:textId="77777777" w:rsidR="00BE0E57" w:rsidRDefault="00000000">
      <w:pPr>
        <w:spacing w:after="200" w:line="276" w:lineRule="auto"/>
        <w:jc w:val="both"/>
        <w:rPr>
          <w:sz w:val="24"/>
          <w:szCs w:val="24"/>
        </w:rPr>
      </w:pPr>
      <w:r>
        <w:rPr>
          <w:sz w:val="24"/>
          <w:szCs w:val="24"/>
        </w:rPr>
        <w:t>By August 2024</w:t>
      </w:r>
      <w:r>
        <w:rPr>
          <w:sz w:val="24"/>
          <w:szCs w:val="24"/>
          <w:vertAlign w:val="superscript"/>
        </w:rPr>
        <w:footnoteReference w:id="31"/>
      </w:r>
      <w:r>
        <w:rPr>
          <w:sz w:val="24"/>
          <w:szCs w:val="24"/>
        </w:rPr>
        <w:t>, soil stabilisation under the planned Unit 5 was completed, marking a crucial step toward the project's advancement. In September, excavation for Unit 5's foundation pit commenced, involving the removal of approximately one million cubic metres of soil.  The government states that the new units will be operational by the early 2030s, with ongoing efforts to adhere to this timeline.</w:t>
      </w:r>
      <w:r>
        <w:rPr>
          <w:sz w:val="24"/>
          <w:szCs w:val="24"/>
          <w:vertAlign w:val="superscript"/>
        </w:rPr>
        <w:footnoteReference w:id="32"/>
      </w:r>
      <w:r>
        <w:rPr>
          <w:sz w:val="24"/>
          <w:szCs w:val="24"/>
          <w:vertAlign w:val="superscript"/>
        </w:rPr>
        <w:footnoteReference w:id="33"/>
      </w:r>
      <w:r>
        <w:rPr>
          <w:sz w:val="24"/>
          <w:szCs w:val="24"/>
        </w:rPr>
        <w:t xml:space="preserve"> </w:t>
      </w:r>
    </w:p>
    <w:p w14:paraId="0BD14BA3" w14:textId="77777777" w:rsidR="00BE0E57" w:rsidRDefault="00000000">
      <w:pPr>
        <w:spacing w:after="200" w:line="276" w:lineRule="auto"/>
        <w:jc w:val="both"/>
        <w:rPr>
          <w:sz w:val="24"/>
          <w:szCs w:val="24"/>
        </w:rPr>
      </w:pPr>
      <w:r>
        <w:rPr>
          <w:sz w:val="24"/>
          <w:szCs w:val="24"/>
        </w:rPr>
        <w:t xml:space="preserve">With the inclusion of nuclear energy, the expansion and optimisation of energy storage capacities become more achievable, as it is crucial for managing supply and demand fluctuations and ensuring uninterrupted energy availability. </w:t>
      </w:r>
      <w:r>
        <w:rPr>
          <w:b/>
          <w:sz w:val="24"/>
          <w:szCs w:val="24"/>
        </w:rPr>
        <w:t>Hungary possesses substantial natural gas storage facilities</w:t>
      </w:r>
      <w:r>
        <w:rPr>
          <w:sz w:val="24"/>
          <w:szCs w:val="24"/>
        </w:rPr>
        <w:t xml:space="preserve"> with a total capacity of approximately 6.3 billion cubic metres</w:t>
      </w:r>
      <w:r>
        <w:rPr>
          <w:sz w:val="24"/>
          <w:szCs w:val="24"/>
          <w:vertAlign w:val="superscript"/>
        </w:rPr>
        <w:footnoteReference w:id="34"/>
      </w:r>
      <w:r>
        <w:rPr>
          <w:sz w:val="24"/>
          <w:szCs w:val="24"/>
        </w:rPr>
        <w:t xml:space="preserve">. This capacity is one of the largest in Europe relative to domestic consumption, providing supply buffer and market flexibility - </w:t>
      </w:r>
      <w:r>
        <w:rPr>
          <w:i/>
          <w:sz w:val="24"/>
          <w:szCs w:val="24"/>
        </w:rPr>
        <w:t>allows Hungary to purchase gas when prices are favourable and store it for later use</w:t>
      </w:r>
      <w:r>
        <w:rPr>
          <w:sz w:val="24"/>
          <w:szCs w:val="24"/>
        </w:rPr>
        <w:t>.</w:t>
      </w:r>
    </w:p>
    <w:p w14:paraId="774F65D5" w14:textId="77777777" w:rsidR="00BE0E57" w:rsidRDefault="00000000">
      <w:pPr>
        <w:spacing w:after="200" w:line="276" w:lineRule="auto"/>
        <w:jc w:val="both"/>
        <w:rPr>
          <w:sz w:val="24"/>
          <w:szCs w:val="24"/>
        </w:rPr>
      </w:pPr>
      <w:r>
        <w:rPr>
          <w:sz w:val="24"/>
          <w:szCs w:val="24"/>
        </w:rPr>
        <w:t xml:space="preserve">In response to EU energy security initiatives and recent global supply chain uncertainties, Hungary has enhanced its strategic gas reserve policies to ensure a legally mandated minimum level of natural gas is available for emergency situations. </w:t>
      </w:r>
      <w:r>
        <w:rPr>
          <w:b/>
          <w:sz w:val="24"/>
          <w:szCs w:val="24"/>
        </w:rPr>
        <w:t>August 25, 2022, Hungary's gas reserves reached 3.88 billion cubic metres, surpassing the EU's requirement</w:t>
      </w:r>
      <w:r>
        <w:rPr>
          <w:sz w:val="24"/>
          <w:szCs w:val="24"/>
        </w:rPr>
        <w:t xml:space="preserve"> of 35% of the past five years' </w:t>
      </w:r>
      <w:r>
        <w:rPr>
          <w:sz w:val="24"/>
          <w:szCs w:val="24"/>
        </w:rPr>
        <w:lastRenderedPageBreak/>
        <w:t>average consumption by November 1, indicating a robust buffer against potential supply disruptions</w:t>
      </w:r>
      <w:r>
        <w:rPr>
          <w:sz w:val="24"/>
          <w:szCs w:val="24"/>
          <w:vertAlign w:val="superscript"/>
        </w:rPr>
        <w:footnoteReference w:id="35"/>
      </w:r>
      <w:r>
        <w:rPr>
          <w:sz w:val="24"/>
          <w:szCs w:val="24"/>
        </w:rPr>
        <w:t>.</w:t>
      </w:r>
    </w:p>
    <w:p w14:paraId="3C02905E" w14:textId="77777777" w:rsidR="00BE0E57" w:rsidRDefault="00000000">
      <w:pPr>
        <w:spacing w:after="200" w:line="276" w:lineRule="auto"/>
        <w:jc w:val="both"/>
        <w:rPr>
          <w:sz w:val="24"/>
          <w:szCs w:val="24"/>
        </w:rPr>
      </w:pPr>
      <w:r>
        <w:rPr>
          <w:sz w:val="24"/>
          <w:szCs w:val="24"/>
        </w:rPr>
        <w:t>The Hungarian government is actively investigati</w:t>
      </w:r>
      <w:r w:rsidRPr="00105F7E">
        <w:rPr>
          <w:sz w:val="24"/>
          <w:szCs w:val="24"/>
          <w:highlight w:val="green"/>
        </w:rPr>
        <w:t>ng expanded storage solutions for hydrogen and other renewable energy sources as part of its transition to a</w:t>
      </w:r>
      <w:r>
        <w:rPr>
          <w:sz w:val="24"/>
          <w:szCs w:val="24"/>
        </w:rPr>
        <w:t xml:space="preserve"> more sustainable energy portfolio. The</w:t>
      </w:r>
      <w:r>
        <w:rPr>
          <w:b/>
          <w:sz w:val="24"/>
          <w:szCs w:val="24"/>
          <w:u w:val="single"/>
        </w:rPr>
        <w:t xml:space="preserve"> National Hydrogen Strategy (NHS)</w:t>
      </w:r>
      <w:r>
        <w:rPr>
          <w:sz w:val="24"/>
          <w:szCs w:val="24"/>
          <w:vertAlign w:val="superscript"/>
        </w:rPr>
        <w:footnoteReference w:id="36"/>
      </w:r>
      <w:r>
        <w:rPr>
          <w:sz w:val="24"/>
          <w:szCs w:val="24"/>
        </w:rPr>
        <w:t>, introduced in May 2021, sets forth a vision to cultivate a hydrogen-based economy aimed at enhancing energy security, reducing greenhouse gas emissions, and aligning with European Union climate goals.</w:t>
      </w:r>
    </w:p>
    <w:p w14:paraId="496946E1" w14:textId="77777777" w:rsidR="00BE0E57" w:rsidRDefault="00000000">
      <w:pPr>
        <w:spacing w:after="200" w:line="276" w:lineRule="auto"/>
        <w:jc w:val="both"/>
        <w:rPr>
          <w:sz w:val="24"/>
          <w:szCs w:val="24"/>
        </w:rPr>
      </w:pPr>
      <w:r>
        <w:rPr>
          <w:sz w:val="24"/>
          <w:szCs w:val="24"/>
        </w:rPr>
        <w:t>One core initiative of the NHS is the creation of "hydrogen valleys"</w:t>
      </w:r>
      <w:r>
        <w:rPr>
          <w:sz w:val="24"/>
          <w:szCs w:val="24"/>
          <w:vertAlign w:val="superscript"/>
        </w:rPr>
        <w:footnoteReference w:id="37"/>
      </w:r>
      <w:r>
        <w:rPr>
          <w:sz w:val="24"/>
          <w:szCs w:val="24"/>
        </w:rPr>
        <w:t xml:space="preserve"> in regions like Transdanubia and northeastern Hungary. These zones are </w:t>
      </w:r>
      <w:r>
        <w:rPr>
          <w:b/>
          <w:sz w:val="24"/>
          <w:szCs w:val="24"/>
        </w:rPr>
        <w:t xml:space="preserve">intended to integrate hydrogen production, storage, and utilisation into cohesive systems, fostering localised hydrogen economies and advancing clean energy goals. </w:t>
      </w:r>
      <w:r>
        <w:rPr>
          <w:sz w:val="24"/>
          <w:szCs w:val="24"/>
        </w:rPr>
        <w:t xml:space="preserve">The strategy prioritises green hydrogen production using renewable energy, with an ambitious target of </w:t>
      </w:r>
      <w:r>
        <w:rPr>
          <w:b/>
          <w:sz w:val="24"/>
          <w:szCs w:val="24"/>
        </w:rPr>
        <w:t xml:space="preserve">reaching 240 MW of </w:t>
      </w:r>
      <w:proofErr w:type="spellStart"/>
      <w:r>
        <w:rPr>
          <w:b/>
          <w:sz w:val="24"/>
          <w:szCs w:val="24"/>
        </w:rPr>
        <w:t>electrolyzer</w:t>
      </w:r>
      <w:proofErr w:type="spellEnd"/>
      <w:r>
        <w:rPr>
          <w:b/>
          <w:sz w:val="24"/>
          <w:szCs w:val="24"/>
        </w:rPr>
        <w:t xml:space="preserve"> capacity by 2030</w:t>
      </w:r>
      <w:r>
        <w:rPr>
          <w:sz w:val="24"/>
          <w:szCs w:val="24"/>
        </w:rPr>
        <w:t xml:space="preserve"> to support this transition.</w:t>
      </w:r>
    </w:p>
    <w:p w14:paraId="66D112AF" w14:textId="77777777" w:rsidR="00BE0E57" w:rsidRDefault="00000000">
      <w:pPr>
        <w:spacing w:after="200" w:line="276" w:lineRule="auto"/>
        <w:jc w:val="both"/>
        <w:rPr>
          <w:sz w:val="24"/>
          <w:szCs w:val="24"/>
        </w:rPr>
      </w:pPr>
      <w:r>
        <w:rPr>
          <w:sz w:val="24"/>
          <w:szCs w:val="24"/>
        </w:rPr>
        <w:t>The NHS also emphasises decarbonizing hard-to-electrify sectors, notably heavy industry and transportation. The policy promotes the use of hydrogen as a substitute for fossil fuels in industrial processes, supporting a shift to low-carbon operations. By 2030, Hungary aims to establish at least 20 hydrogen refuelling stations</w:t>
      </w:r>
      <w:r>
        <w:rPr>
          <w:sz w:val="24"/>
          <w:szCs w:val="24"/>
          <w:vertAlign w:val="superscript"/>
        </w:rPr>
        <w:footnoteReference w:id="38"/>
      </w:r>
      <w:r>
        <w:rPr>
          <w:sz w:val="24"/>
          <w:szCs w:val="24"/>
        </w:rPr>
        <w:t>, creating infrastructure that facilitates hydrogen-powered mobility and contributes to lower transportation emissions.</w:t>
      </w:r>
    </w:p>
    <w:p w14:paraId="7DC6A175" w14:textId="77777777" w:rsidR="00BE0E57" w:rsidRDefault="00000000">
      <w:pPr>
        <w:spacing w:after="200" w:line="276" w:lineRule="auto"/>
        <w:jc w:val="both"/>
        <w:rPr>
          <w:sz w:val="24"/>
          <w:szCs w:val="24"/>
        </w:rPr>
      </w:pPr>
      <w:r>
        <w:rPr>
          <w:sz w:val="24"/>
          <w:szCs w:val="24"/>
        </w:rPr>
        <w:t>To drive technological progress, the Hungarian government has committed to substantial investments in hydrogen-related research and development</w:t>
      </w:r>
      <w:r>
        <w:rPr>
          <w:sz w:val="24"/>
          <w:szCs w:val="24"/>
          <w:vertAlign w:val="superscript"/>
        </w:rPr>
        <w:footnoteReference w:id="39"/>
      </w:r>
      <w:r>
        <w:rPr>
          <w:sz w:val="24"/>
          <w:szCs w:val="24"/>
        </w:rPr>
        <w:t xml:space="preserve">, particularly in electrolysis and fuel cell technologies. Partnerships with universities and private entities are encouraged to stimulate innovation and position Hungary as a competitive player in the hydrogen market. </w:t>
      </w:r>
      <w:r>
        <w:rPr>
          <w:b/>
          <w:sz w:val="24"/>
          <w:szCs w:val="24"/>
        </w:rPr>
        <w:t>The hydrogen sector is envisioned as a significant catalyst for new employment opportunities and skills development, promoting economic growth and strengthening regional economies.</w:t>
      </w:r>
      <w:r>
        <w:rPr>
          <w:sz w:val="24"/>
          <w:szCs w:val="24"/>
        </w:rPr>
        <w:t xml:space="preserve"> By drawing investment into green technology, Hungary seeks to establish itself as a hub for hydrogen industries in Central Europe.</w:t>
      </w:r>
    </w:p>
    <w:p w14:paraId="482CF632" w14:textId="77777777" w:rsidR="00BE0E57" w:rsidRDefault="00000000">
      <w:pPr>
        <w:spacing w:after="0" w:line="276" w:lineRule="auto"/>
        <w:jc w:val="both"/>
        <w:rPr>
          <w:sz w:val="24"/>
          <w:szCs w:val="24"/>
        </w:rPr>
      </w:pPr>
      <w:r>
        <w:rPr>
          <w:sz w:val="24"/>
          <w:szCs w:val="24"/>
        </w:rPr>
        <w:t xml:space="preserve">A notable milestone in this transition was the inauguration of </w:t>
      </w:r>
      <w:r>
        <w:rPr>
          <w:b/>
          <w:sz w:val="24"/>
          <w:szCs w:val="24"/>
        </w:rPr>
        <w:t xml:space="preserve">Hungary’s first hydrogen production plant in </w:t>
      </w:r>
      <w:proofErr w:type="spellStart"/>
      <w:r>
        <w:rPr>
          <w:b/>
          <w:sz w:val="24"/>
          <w:szCs w:val="24"/>
        </w:rPr>
        <w:t>Kardoskút</w:t>
      </w:r>
      <w:proofErr w:type="spellEnd"/>
      <w:r>
        <w:rPr>
          <w:sz w:val="24"/>
          <w:szCs w:val="24"/>
        </w:rPr>
        <w:t xml:space="preserve"> in May 2023.</w:t>
      </w:r>
      <w:r>
        <w:rPr>
          <w:sz w:val="24"/>
          <w:szCs w:val="24"/>
          <w:vertAlign w:val="superscript"/>
        </w:rPr>
        <w:footnoteReference w:id="40"/>
      </w:r>
      <w:r>
        <w:rPr>
          <w:sz w:val="24"/>
          <w:szCs w:val="24"/>
        </w:rPr>
        <w:t xml:space="preserve"> This facility </w:t>
      </w:r>
      <w:proofErr w:type="gramStart"/>
      <w:r>
        <w:rPr>
          <w:sz w:val="24"/>
          <w:szCs w:val="24"/>
        </w:rPr>
        <w:t>is capable of storing</w:t>
      </w:r>
      <w:proofErr w:type="gramEnd"/>
      <w:r>
        <w:rPr>
          <w:sz w:val="24"/>
          <w:szCs w:val="24"/>
        </w:rPr>
        <w:t xml:space="preserve"> surplus electricity generated from renewable sources in the form of hydrogen, representing a significant advancement in the country’s energy storage capacity.</w:t>
      </w:r>
    </w:p>
    <w:p w14:paraId="7FEDBD31" w14:textId="77777777" w:rsidR="00BE0E57" w:rsidRDefault="00BE0E57">
      <w:pPr>
        <w:pBdr>
          <w:top w:val="nil"/>
          <w:left w:val="nil"/>
          <w:bottom w:val="nil"/>
          <w:right w:val="nil"/>
          <w:between w:val="nil"/>
        </w:pBdr>
        <w:spacing w:after="0"/>
        <w:ind w:left="567"/>
        <w:rPr>
          <w:i/>
          <w:color w:val="000000"/>
          <w:sz w:val="24"/>
          <w:szCs w:val="24"/>
        </w:rPr>
      </w:pPr>
    </w:p>
    <w:p w14:paraId="5E80099E" w14:textId="77777777" w:rsidR="00BE0E57" w:rsidRDefault="00000000">
      <w:pPr>
        <w:pBdr>
          <w:top w:val="nil"/>
          <w:left w:val="nil"/>
          <w:bottom w:val="nil"/>
          <w:right w:val="nil"/>
          <w:between w:val="nil"/>
        </w:pBdr>
        <w:spacing w:after="0"/>
        <w:jc w:val="both"/>
        <w:rPr>
          <w:b/>
          <w:sz w:val="24"/>
          <w:szCs w:val="24"/>
        </w:rPr>
      </w:pPr>
      <w:r>
        <w:br w:type="page"/>
      </w:r>
    </w:p>
    <w:p w14:paraId="70FDE64F" w14:textId="77777777" w:rsidR="00BE0E57" w:rsidRDefault="00000000">
      <w:pPr>
        <w:pStyle w:val="Heading2"/>
        <w:numPr>
          <w:ilvl w:val="0"/>
          <w:numId w:val="9"/>
        </w:numPr>
      </w:pPr>
      <w:bookmarkStart w:id="6" w:name="_heading=h.3dj34q2ap85i" w:colFirst="0" w:colLast="0"/>
      <w:bookmarkEnd w:id="6"/>
      <w:r>
        <w:lastRenderedPageBreak/>
        <w:t>SUPPORTING DOCUMENTS: NATIONAL ACTION PLANS</w:t>
      </w:r>
    </w:p>
    <w:p w14:paraId="577964D3" w14:textId="77777777" w:rsidR="00BE0E57" w:rsidRDefault="00BE0E57">
      <w:pPr>
        <w:spacing w:after="0"/>
        <w:jc w:val="both"/>
        <w:rPr>
          <w:sz w:val="24"/>
          <w:szCs w:val="24"/>
        </w:rPr>
      </w:pPr>
    </w:p>
    <w:p w14:paraId="671DE3DE" w14:textId="77777777" w:rsidR="00BE0E57" w:rsidRDefault="00000000">
      <w:pPr>
        <w:spacing w:after="200"/>
        <w:jc w:val="both"/>
        <w:rPr>
          <w:b/>
          <w:sz w:val="24"/>
          <w:szCs w:val="24"/>
          <w:u w:val="single"/>
        </w:rPr>
      </w:pPr>
      <w:r>
        <w:rPr>
          <w:b/>
          <w:sz w:val="24"/>
          <w:szCs w:val="24"/>
          <w:u w:val="single"/>
        </w:rPr>
        <w:t>National Energy and Climate Plan (NECP)</w:t>
      </w:r>
    </w:p>
    <w:p w14:paraId="00BBA71A" w14:textId="77777777" w:rsidR="00BE0E57" w:rsidRDefault="00000000">
      <w:pPr>
        <w:spacing w:after="200"/>
        <w:jc w:val="both"/>
        <w:rPr>
          <w:sz w:val="24"/>
          <w:szCs w:val="24"/>
        </w:rPr>
      </w:pPr>
      <w:r>
        <w:rPr>
          <w:sz w:val="24"/>
          <w:szCs w:val="24"/>
        </w:rPr>
        <w:t xml:space="preserve">We have already somewhat gone into the details of NECP above. It is a cornerstone policy document outlining Hungary's pathway to carbon neutrality by 2050 by adhering to the EU targets. NECP has an ambitious set of targets, they are well - and logically structured for reducing greenhouse gas emissions, increasing the share of renewable energy, and improving energy efficiency – as detailed. </w:t>
      </w:r>
    </w:p>
    <w:p w14:paraId="3A062FB1" w14:textId="77777777" w:rsidR="00BE0E57" w:rsidRDefault="00000000">
      <w:pPr>
        <w:spacing w:after="200"/>
        <w:jc w:val="both"/>
        <w:rPr>
          <w:sz w:val="24"/>
          <w:szCs w:val="24"/>
        </w:rPr>
      </w:pPr>
      <w:r>
        <w:rPr>
          <w:sz w:val="24"/>
          <w:szCs w:val="24"/>
        </w:rPr>
        <w:t>The primary goals include reducing greenhouse gas emissions by 40% by 2030, achieving a 21% renewable energy share in final energy consumption, and a 30% improvement in energy efficiency, compared to 1990 levels. The timeline is structured with milestones for 2030 and 2040, leading up to full carbon neutrality by 2050, ensuring both gradual adjustment and ample support for all stakeholders.</w:t>
      </w:r>
      <w:r>
        <w:rPr>
          <w:sz w:val="24"/>
          <w:szCs w:val="24"/>
          <w:vertAlign w:val="superscript"/>
        </w:rPr>
        <w:footnoteReference w:id="41"/>
      </w:r>
    </w:p>
    <w:p w14:paraId="1A606954" w14:textId="77777777" w:rsidR="00BE0E57" w:rsidRDefault="00000000">
      <w:pPr>
        <w:spacing w:before="240" w:after="200"/>
        <w:jc w:val="both"/>
        <w:rPr>
          <w:sz w:val="24"/>
          <w:szCs w:val="24"/>
        </w:rPr>
      </w:pPr>
      <w:r>
        <w:rPr>
          <w:sz w:val="24"/>
          <w:szCs w:val="24"/>
        </w:rPr>
        <w:t>Hungary submitted its final updated NECP for 2021-2030 to the European Commission on October 16, 2024.</w:t>
      </w:r>
      <w:r>
        <w:rPr>
          <w:sz w:val="24"/>
          <w:szCs w:val="24"/>
          <w:vertAlign w:val="superscript"/>
        </w:rPr>
        <w:footnoteReference w:id="42"/>
      </w:r>
      <w:r>
        <w:rPr>
          <w:sz w:val="24"/>
          <w:szCs w:val="24"/>
        </w:rPr>
        <w:t xml:space="preserve"> This version outlines Hungary's strategies and targets for reducing greenhouse gas emissions, increasing renewable energy usage, and enhancing energy efficiency over the next decade.  </w:t>
      </w:r>
    </w:p>
    <w:p w14:paraId="7FB57A27" w14:textId="77777777" w:rsidR="00BE0E57" w:rsidRDefault="00000000">
      <w:pPr>
        <w:spacing w:before="240" w:after="200"/>
        <w:jc w:val="both"/>
        <w:rPr>
          <w:sz w:val="24"/>
          <w:szCs w:val="24"/>
        </w:rPr>
      </w:pPr>
      <w:r>
        <w:rPr>
          <w:b/>
          <w:sz w:val="24"/>
          <w:szCs w:val="24"/>
        </w:rPr>
        <w:t>Given the recent submission detailed data on the achievements of the updated NECP are not yet available. However, the European Commission has been actively assessing the progress of Member States towards their energy and climate objectives.</w:t>
      </w:r>
      <w:r>
        <w:rPr>
          <w:sz w:val="24"/>
          <w:szCs w:val="24"/>
        </w:rPr>
        <w:t xml:space="preserve"> On October 24, 2023, the Commission published its technical assessment of the NECP progress reports, which is part of the 2023 State of the Energy Union report. This assessment provides insights into the collective progress of EU Member States, including Hungary, in meeting their energy and climate targets.</w:t>
      </w:r>
      <w:r>
        <w:rPr>
          <w:sz w:val="24"/>
          <w:szCs w:val="24"/>
          <w:vertAlign w:val="superscript"/>
        </w:rPr>
        <w:footnoteReference w:id="43"/>
      </w:r>
    </w:p>
    <w:p w14:paraId="701C24AC" w14:textId="77777777" w:rsidR="00BE0E57" w:rsidRDefault="00000000">
      <w:pPr>
        <w:spacing w:before="240" w:after="200"/>
        <w:jc w:val="both"/>
        <w:rPr>
          <w:sz w:val="24"/>
          <w:szCs w:val="24"/>
        </w:rPr>
      </w:pPr>
      <w:r>
        <w:rPr>
          <w:sz w:val="24"/>
          <w:szCs w:val="24"/>
        </w:rPr>
        <w:t xml:space="preserve">In the EC’s technical assessment of Hungary’s NECP progress, the Commission acknowledges notable achievements, yet also pinpoints areas that require further efforts. One key area of focus is the increase in the share of renewable energy in Hungary’s overall energy mix. Hungary’s steady growth in renewable energy generation is recognised, particularly </w:t>
      </w:r>
      <w:r>
        <w:rPr>
          <w:b/>
          <w:sz w:val="24"/>
          <w:szCs w:val="24"/>
        </w:rPr>
        <w:t>in solar energy</w:t>
      </w:r>
      <w:r>
        <w:rPr>
          <w:sz w:val="24"/>
          <w:szCs w:val="24"/>
        </w:rPr>
        <w:t xml:space="preserve"> for electricity production, which has become a primary contributor to Hungary’s renewable sector. However, the report also notes the need for greater diversity in renewable sources, </w:t>
      </w:r>
      <w:r>
        <w:rPr>
          <w:b/>
          <w:sz w:val="24"/>
          <w:szCs w:val="24"/>
        </w:rPr>
        <w:t>to further explore wind energy and biomass</w:t>
      </w:r>
      <w:r>
        <w:rPr>
          <w:sz w:val="24"/>
          <w:szCs w:val="24"/>
        </w:rPr>
        <w:t>.</w:t>
      </w:r>
    </w:p>
    <w:p w14:paraId="02B7DA17" w14:textId="77777777" w:rsidR="00BE0E57" w:rsidRDefault="00000000">
      <w:pPr>
        <w:spacing w:before="240" w:after="200"/>
        <w:jc w:val="both"/>
        <w:rPr>
          <w:sz w:val="24"/>
          <w:szCs w:val="24"/>
        </w:rPr>
      </w:pPr>
      <w:r>
        <w:rPr>
          <w:sz w:val="24"/>
          <w:szCs w:val="24"/>
        </w:rPr>
        <w:t>In the transportation sector, Hungary has made strides by promoting electric vehicle (EV) adoption and expanding EV infrastructure. The assessment suggests that current efforts should be intensified to</w:t>
      </w:r>
      <w:r>
        <w:rPr>
          <w:b/>
          <w:sz w:val="24"/>
          <w:szCs w:val="24"/>
        </w:rPr>
        <w:t xml:space="preserve"> reduce emissions further in public and commercial transport</w:t>
      </w:r>
      <w:r>
        <w:rPr>
          <w:sz w:val="24"/>
          <w:szCs w:val="24"/>
        </w:rPr>
        <w:t>, perhaps through more stringent emissions</w:t>
      </w:r>
      <w:r>
        <w:rPr>
          <w:b/>
          <w:sz w:val="24"/>
          <w:szCs w:val="24"/>
        </w:rPr>
        <w:t xml:space="preserve"> regulations and subsidies for green transport alternatives</w:t>
      </w:r>
      <w:r>
        <w:rPr>
          <w:sz w:val="24"/>
          <w:szCs w:val="24"/>
        </w:rPr>
        <w:t>.</w:t>
      </w:r>
    </w:p>
    <w:p w14:paraId="623664B8" w14:textId="77777777" w:rsidR="00BE0E57" w:rsidRDefault="00000000">
      <w:pPr>
        <w:spacing w:before="240" w:after="200"/>
        <w:jc w:val="both"/>
        <w:rPr>
          <w:sz w:val="24"/>
          <w:szCs w:val="24"/>
        </w:rPr>
      </w:pPr>
      <w:r>
        <w:rPr>
          <w:sz w:val="24"/>
          <w:szCs w:val="24"/>
        </w:rPr>
        <w:lastRenderedPageBreak/>
        <w:t>The report also scrutinises the energy efficiency measures implemented across industries, residential buildings, and public infrastructure. There are still</w:t>
      </w:r>
      <w:r>
        <w:rPr>
          <w:b/>
          <w:sz w:val="24"/>
          <w:szCs w:val="24"/>
        </w:rPr>
        <w:t xml:space="preserve"> gaps </w:t>
      </w:r>
      <w:r>
        <w:rPr>
          <w:sz w:val="24"/>
          <w:szCs w:val="24"/>
        </w:rPr>
        <w:t xml:space="preserve">in the industrial sector, where energy efficiency improvements could substantially reduce emissions and operational costs. In residential areas, the assessment </w:t>
      </w:r>
      <w:r>
        <w:rPr>
          <w:b/>
          <w:sz w:val="24"/>
          <w:szCs w:val="24"/>
        </w:rPr>
        <w:t>calls for stronger policies to support energy upgrades for low-income household</w:t>
      </w:r>
      <w:r>
        <w:rPr>
          <w:sz w:val="24"/>
          <w:szCs w:val="24"/>
        </w:rPr>
        <w:t>s, which could help alleviate energy poverty and improve living conditions.</w:t>
      </w:r>
    </w:p>
    <w:p w14:paraId="5BC2C1CF" w14:textId="77777777" w:rsidR="00BE0E57" w:rsidRDefault="00000000">
      <w:pPr>
        <w:spacing w:before="240" w:after="200"/>
        <w:jc w:val="both"/>
        <w:rPr>
          <w:sz w:val="24"/>
          <w:szCs w:val="24"/>
        </w:rPr>
      </w:pPr>
      <w:r>
        <w:rPr>
          <w:i/>
          <w:sz w:val="24"/>
          <w:szCs w:val="24"/>
        </w:rPr>
        <w:t>The Commission emphasises the need for accelerated upgrades to Hungary’s energy grid to handle the increased load from renewables in the public infrastructures.</w:t>
      </w:r>
      <w:r>
        <w:rPr>
          <w:sz w:val="24"/>
          <w:szCs w:val="24"/>
        </w:rPr>
        <w:t xml:space="preserve"> Upgrading transmission lines, investing in storage technologies, and expanding smart grid capabilities are recommended to ensure the stability and resilience.</w:t>
      </w:r>
    </w:p>
    <w:p w14:paraId="5992004F" w14:textId="77777777" w:rsidR="00BE0E57" w:rsidRDefault="00000000">
      <w:pPr>
        <w:spacing w:after="200"/>
        <w:jc w:val="both"/>
        <w:rPr>
          <w:sz w:val="24"/>
          <w:szCs w:val="24"/>
        </w:rPr>
      </w:pPr>
      <w:r w:rsidRPr="0076198B">
        <w:rPr>
          <w:sz w:val="24"/>
          <w:szCs w:val="24"/>
          <w:highlight w:val="green"/>
        </w:rPr>
        <w:t xml:space="preserve">On the last point, to ensure a just transition, the </w:t>
      </w:r>
      <w:r w:rsidRPr="0076198B">
        <w:rPr>
          <w:b/>
          <w:sz w:val="24"/>
          <w:szCs w:val="24"/>
          <w:highlight w:val="green"/>
        </w:rPr>
        <w:t>NECP includes specific measures to support communities and workers currently reliant on fossil fuel industries, especially in regions heavily dependent on coal.</w:t>
      </w:r>
      <w:r w:rsidRPr="0076198B">
        <w:rPr>
          <w:sz w:val="24"/>
          <w:szCs w:val="24"/>
          <w:highlight w:val="green"/>
        </w:rPr>
        <w:t xml:space="preserve"> Reskilling programs are integral to the plan, offering job training and educational opportunities for workers to transition into renewable energy sectors. Additionally, the NECP encourages the creation of green energy clusters in former coal-mining areas, helping to revitalise these communities through new job opportunities and sustainable energy production. From a consumer standpoint, the NECP aims to stabilise energy prices by fostering diverse energy sources, including renewables and local generation, protecting low-income households from energy poverty.</w:t>
      </w:r>
      <w:r>
        <w:rPr>
          <w:sz w:val="24"/>
          <w:szCs w:val="24"/>
        </w:rPr>
        <w:t xml:space="preserve"> </w:t>
      </w:r>
    </w:p>
    <w:p w14:paraId="5122B5EF" w14:textId="77777777" w:rsidR="00BE0E57" w:rsidRDefault="00000000">
      <w:pPr>
        <w:spacing w:after="200"/>
        <w:jc w:val="both"/>
        <w:rPr>
          <w:b/>
          <w:sz w:val="24"/>
          <w:szCs w:val="24"/>
          <w:u w:val="single"/>
        </w:rPr>
      </w:pPr>
      <w:r>
        <w:rPr>
          <w:b/>
          <w:sz w:val="24"/>
          <w:szCs w:val="24"/>
          <w:u w:val="single"/>
        </w:rPr>
        <w:t>National Energy Efficiency Action Plan (NEEAP)</w:t>
      </w:r>
      <w:r>
        <w:rPr>
          <w:b/>
          <w:sz w:val="24"/>
          <w:szCs w:val="24"/>
          <w:u w:val="single"/>
          <w:vertAlign w:val="superscript"/>
        </w:rPr>
        <w:footnoteReference w:id="44"/>
      </w:r>
    </w:p>
    <w:p w14:paraId="3BAA667E" w14:textId="77777777" w:rsidR="00BE0E57" w:rsidRDefault="00000000">
      <w:pPr>
        <w:spacing w:after="200"/>
        <w:jc w:val="both"/>
        <w:rPr>
          <w:sz w:val="24"/>
          <w:szCs w:val="24"/>
        </w:rPr>
      </w:pPr>
      <w:r>
        <w:rPr>
          <w:sz w:val="24"/>
          <w:szCs w:val="24"/>
        </w:rPr>
        <w:t xml:space="preserve">NEEAP sets out specific energy-saving targets for industrial, residential, and public sectors to reduce overall energy demand. It aims to achieve a 20% reduction in primary energy consumption by 2030, focusing on widespread adoption of energy-saving technologies, including efficient lighting, heating, and industrial equipment upgrades. NEEAP’s timeline is structured with incremental targets for 2025, 2030, and beyond, providing a clear roadmap to meet EU energy efficiency requirements. </w:t>
      </w:r>
    </w:p>
    <w:p w14:paraId="132AD35B" w14:textId="77777777" w:rsidR="00BE0E57" w:rsidRDefault="00000000">
      <w:pPr>
        <w:spacing w:after="200"/>
        <w:jc w:val="both"/>
        <w:rPr>
          <w:b/>
          <w:sz w:val="24"/>
          <w:szCs w:val="24"/>
        </w:rPr>
      </w:pPr>
      <w:r>
        <w:rPr>
          <w:sz w:val="24"/>
          <w:szCs w:val="24"/>
        </w:rPr>
        <w:t xml:space="preserve">As mentioned, in the previous point, Hungary recently submitted an updated NECP in October 2024, but we hid the fact that </w:t>
      </w:r>
      <w:r>
        <w:rPr>
          <w:b/>
          <w:sz w:val="24"/>
          <w:szCs w:val="24"/>
        </w:rPr>
        <w:t>this new version incorporates the objectives and measures of the NEEAP, making it into a broader strategic plan.</w:t>
      </w:r>
      <w:r>
        <w:rPr>
          <w:b/>
          <w:sz w:val="24"/>
          <w:szCs w:val="24"/>
          <w:vertAlign w:val="superscript"/>
        </w:rPr>
        <w:footnoteReference w:id="45"/>
      </w:r>
      <w:r>
        <w:rPr>
          <w:b/>
          <w:sz w:val="24"/>
          <w:szCs w:val="24"/>
        </w:rPr>
        <w:t xml:space="preserve"> </w:t>
      </w:r>
    </w:p>
    <w:p w14:paraId="6CFB0CE4" w14:textId="77777777" w:rsidR="00BE0E57" w:rsidRDefault="00000000">
      <w:pPr>
        <w:spacing w:before="240" w:after="200"/>
        <w:jc w:val="both"/>
        <w:rPr>
          <w:sz w:val="24"/>
          <w:szCs w:val="24"/>
        </w:rPr>
      </w:pPr>
      <w:r>
        <w:rPr>
          <w:sz w:val="24"/>
          <w:szCs w:val="24"/>
        </w:rPr>
        <w:t>One of the critical targets of the updated NECP (i.e. NEEAP 2.0)</w:t>
      </w:r>
      <w:r>
        <w:rPr>
          <w:sz w:val="24"/>
          <w:szCs w:val="24"/>
          <w:vertAlign w:val="superscript"/>
        </w:rPr>
        <w:footnoteReference w:id="46"/>
      </w:r>
      <w:r>
        <w:rPr>
          <w:sz w:val="24"/>
          <w:szCs w:val="24"/>
        </w:rPr>
        <w:t xml:space="preserve"> is to reduce Hungary’s total energy consumption to approximately 740 petajoules by 2030. That means </w:t>
      </w:r>
      <w:r>
        <w:rPr>
          <w:b/>
          <w:sz w:val="24"/>
          <w:szCs w:val="24"/>
        </w:rPr>
        <w:t>modernising public and private building insulation</w:t>
      </w:r>
      <w:r>
        <w:rPr>
          <w:sz w:val="24"/>
          <w:szCs w:val="24"/>
        </w:rPr>
        <w:t xml:space="preserve">, promoting high-efficiency heating and cooling systems, and adopting energy-efficient technologies in manufacturing and production. The plan also aims to </w:t>
      </w:r>
      <w:r>
        <w:rPr>
          <w:b/>
          <w:sz w:val="24"/>
          <w:szCs w:val="24"/>
        </w:rPr>
        <w:t>raise the share of renewable energy in Hungary's overall energy mix to 30% by 2030.</w:t>
      </w:r>
      <w:r>
        <w:rPr>
          <w:sz w:val="24"/>
          <w:szCs w:val="24"/>
        </w:rPr>
        <w:t xml:space="preserve"> Solar power is expected to play a major role, with continued investments in photovoltaic infrastructure and decentralised solar energy solutions for households and businesses.</w:t>
      </w:r>
    </w:p>
    <w:p w14:paraId="762A87ED" w14:textId="77777777" w:rsidR="00BE0E57" w:rsidRDefault="00000000">
      <w:pPr>
        <w:spacing w:before="240" w:after="200"/>
        <w:jc w:val="both"/>
        <w:rPr>
          <w:sz w:val="24"/>
          <w:szCs w:val="24"/>
        </w:rPr>
      </w:pPr>
      <w:r>
        <w:rPr>
          <w:sz w:val="24"/>
          <w:szCs w:val="24"/>
        </w:rPr>
        <w:lastRenderedPageBreak/>
        <w:t xml:space="preserve">With an emphasis on electrifying transportation and heating, this encourages the growth of electric vehicle infrastructure and the promotion of electric heating options, especially in urban areas. </w:t>
      </w:r>
      <w:r>
        <w:rPr>
          <w:b/>
          <w:sz w:val="24"/>
          <w:szCs w:val="24"/>
        </w:rPr>
        <w:t>The transition is supported by subsidies and financial incentives</w:t>
      </w:r>
      <w:r>
        <w:rPr>
          <w:sz w:val="24"/>
          <w:szCs w:val="24"/>
        </w:rPr>
        <w:t>, making electric alternatives more accessible for both individuals and businesses.</w:t>
      </w:r>
    </w:p>
    <w:p w14:paraId="58AD8E1A" w14:textId="77777777" w:rsidR="00BE0E57" w:rsidRDefault="00000000">
      <w:pPr>
        <w:spacing w:before="240" w:after="200"/>
        <w:jc w:val="both"/>
        <w:rPr>
          <w:sz w:val="24"/>
          <w:szCs w:val="24"/>
        </w:rPr>
      </w:pPr>
      <w:r>
        <w:rPr>
          <w:sz w:val="24"/>
          <w:szCs w:val="24"/>
        </w:rPr>
        <w:t>The plan still prioritises affordability, with a focus on shielding consumers, especially vulnerable and low-income groups, from rising energy costs. Subsidies, grants, and incentive programs are embedded within the plan to assist households and businesses in implementing energy-saving measures, aiming to reduce the long-term cost burden of energy consumption.</w:t>
      </w:r>
      <w:r>
        <w:rPr>
          <w:sz w:val="24"/>
          <w:szCs w:val="24"/>
          <w:vertAlign w:val="superscript"/>
        </w:rPr>
        <w:footnoteReference w:id="47"/>
      </w:r>
      <w:r>
        <w:rPr>
          <w:sz w:val="24"/>
          <w:szCs w:val="24"/>
        </w:rPr>
        <w:t xml:space="preserve"> Concluding, the 2024 update reaffirms Hungary’s dedication to a just transition, balancing environmental objectives with economic and social needs. It emphasises collaboration across government levels, industry, and the public to achieve sustainable energy targets while protecting affordability and accessibility for all.</w:t>
      </w:r>
    </w:p>
    <w:p w14:paraId="153150CB" w14:textId="77777777" w:rsidR="00BE0E57" w:rsidRDefault="00000000">
      <w:pPr>
        <w:spacing w:after="200"/>
        <w:jc w:val="both"/>
        <w:rPr>
          <w:b/>
          <w:sz w:val="24"/>
          <w:szCs w:val="24"/>
          <w:u w:val="single"/>
        </w:rPr>
      </w:pPr>
      <w:r>
        <w:rPr>
          <w:b/>
          <w:sz w:val="24"/>
          <w:szCs w:val="24"/>
          <w:u w:val="single"/>
        </w:rPr>
        <w:t>Renewable Energy Action Plan (REAP)</w:t>
      </w:r>
    </w:p>
    <w:p w14:paraId="1FF52AF4" w14:textId="77777777" w:rsidR="00BE0E57" w:rsidRDefault="00000000">
      <w:pPr>
        <w:spacing w:after="200"/>
        <w:jc w:val="both"/>
        <w:rPr>
          <w:sz w:val="24"/>
          <w:szCs w:val="24"/>
        </w:rPr>
      </w:pPr>
      <w:r>
        <w:rPr>
          <w:sz w:val="24"/>
          <w:szCs w:val="24"/>
        </w:rPr>
        <w:t>REAP is central to the country’s transition to a low-carbon energy sector. It sets an ambitious target to achieve a 21% share of renewable energy in final energy consumption by 2030, primarily through solar, wind, and biomass. Key goals include expanding solar energy generation, particularly in rural areas where solar farms can benefit local economies, and gradually integrating more wind and bioenergy.</w:t>
      </w:r>
    </w:p>
    <w:p w14:paraId="1B7D96C1" w14:textId="77777777" w:rsidR="00BE0E57" w:rsidRDefault="00000000">
      <w:pPr>
        <w:spacing w:after="200"/>
        <w:jc w:val="both"/>
        <w:rPr>
          <w:sz w:val="24"/>
          <w:szCs w:val="24"/>
        </w:rPr>
      </w:pPr>
      <w:r>
        <w:rPr>
          <w:sz w:val="24"/>
          <w:szCs w:val="24"/>
        </w:rPr>
        <w:t>Hungary has made notable progress in its renewable energy sector, particularly in solar energy. In the first seven months of 2024, Hungary's solar electricity generation increased by 47.7% compared to the same period in 2023, positioning the country as a significant contributor to Europe's solar growth.</w:t>
      </w:r>
      <w:r>
        <w:rPr>
          <w:sz w:val="24"/>
          <w:szCs w:val="24"/>
          <w:vertAlign w:val="superscript"/>
        </w:rPr>
        <w:footnoteReference w:id="48"/>
      </w:r>
      <w:r>
        <w:rPr>
          <w:sz w:val="24"/>
          <w:szCs w:val="24"/>
        </w:rPr>
        <w:t xml:space="preserve"> </w:t>
      </w:r>
      <w:r>
        <w:rPr>
          <w:b/>
          <w:sz w:val="24"/>
          <w:szCs w:val="24"/>
        </w:rPr>
        <w:t xml:space="preserve">REAP’s policies have helped Hungary reach a renewable energy share close to its 21% target, </w:t>
      </w:r>
      <w:r>
        <w:rPr>
          <w:sz w:val="24"/>
          <w:szCs w:val="24"/>
        </w:rPr>
        <w:t>boosting energy security and reducing greenhouse gas emissions. This growth has been accelerated by Hungary’s alignment with EU renewable targets and investments in both solar and bioenergy. Thus,</w:t>
      </w:r>
      <w:r>
        <w:rPr>
          <w:b/>
          <w:sz w:val="24"/>
          <w:szCs w:val="24"/>
        </w:rPr>
        <w:t xml:space="preserve"> the Commission endorsed Hungary's €4.6 billion </w:t>
      </w:r>
      <w:proofErr w:type="spellStart"/>
      <w:r>
        <w:rPr>
          <w:b/>
          <w:sz w:val="24"/>
          <w:szCs w:val="24"/>
        </w:rPr>
        <w:t>REPowerEU</w:t>
      </w:r>
      <w:proofErr w:type="spellEnd"/>
      <w:r>
        <w:rPr>
          <w:b/>
          <w:sz w:val="24"/>
          <w:szCs w:val="24"/>
        </w:rPr>
        <w:t xml:space="preserve"> chapter, which includes 13 new reforms and 16 investments</w:t>
      </w:r>
      <w:r>
        <w:rPr>
          <w:b/>
          <w:sz w:val="24"/>
          <w:szCs w:val="24"/>
          <w:vertAlign w:val="superscript"/>
        </w:rPr>
        <w:footnoteReference w:id="49"/>
      </w:r>
      <w:r>
        <w:rPr>
          <w:b/>
          <w:sz w:val="24"/>
          <w:szCs w:val="24"/>
        </w:rPr>
        <w:t xml:space="preserve"> </w:t>
      </w:r>
      <w:r>
        <w:rPr>
          <w:sz w:val="24"/>
          <w:szCs w:val="24"/>
        </w:rPr>
        <w:t>aimed at enhancing energy independence and accelerating the transition to renewable energy sources.</w:t>
      </w:r>
    </w:p>
    <w:p w14:paraId="3C0D21DC" w14:textId="77777777" w:rsidR="00BE0E57" w:rsidRDefault="00000000">
      <w:pPr>
        <w:spacing w:after="200"/>
        <w:jc w:val="both"/>
        <w:rPr>
          <w:sz w:val="24"/>
          <w:szCs w:val="24"/>
        </w:rPr>
      </w:pPr>
      <w:r>
        <w:rPr>
          <w:sz w:val="24"/>
          <w:szCs w:val="24"/>
        </w:rPr>
        <w:t xml:space="preserve">To implement a just transition, REAP emphasises local community involvement, allowing communities to create and manage their energy resources through cooperatives. This decentralised approach not only empowers consumers but also stabilises energy costs, which can </w:t>
      </w:r>
      <w:r w:rsidRPr="00A20C8D">
        <w:rPr>
          <w:sz w:val="24"/>
          <w:szCs w:val="24"/>
          <w:highlight w:val="yellow"/>
        </w:rPr>
        <w:t xml:space="preserve">benefit low-income households. The plan encourages the establishment of community energy projects, where </w:t>
      </w:r>
      <w:proofErr w:type="gramStart"/>
      <w:r w:rsidRPr="00A20C8D">
        <w:rPr>
          <w:sz w:val="24"/>
          <w:szCs w:val="24"/>
          <w:highlight w:val="yellow"/>
        </w:rPr>
        <w:t>local residents</w:t>
      </w:r>
      <w:proofErr w:type="gramEnd"/>
      <w:r w:rsidRPr="00A20C8D">
        <w:rPr>
          <w:sz w:val="24"/>
          <w:szCs w:val="24"/>
          <w:highlight w:val="yellow"/>
        </w:rPr>
        <w:t xml:space="preserve"> can participate in or own shares of renewable energy developments, such as community solar farms.</w:t>
      </w:r>
      <w:r>
        <w:rPr>
          <w:sz w:val="24"/>
          <w:szCs w:val="24"/>
        </w:rPr>
        <w:t xml:space="preserve"> For the workforce, REAP includes programs to </w:t>
      </w:r>
      <w:r w:rsidRPr="00A20C8D">
        <w:rPr>
          <w:sz w:val="24"/>
          <w:szCs w:val="24"/>
          <w:highlight w:val="yellow"/>
        </w:rPr>
        <w:t>reskill workers from traditional fossil fuel sectors, providing training for new roles in the renewable sector. The government offers incentives and funding for renewable projects that create jobs</w:t>
      </w:r>
      <w:r>
        <w:rPr>
          <w:sz w:val="24"/>
          <w:szCs w:val="24"/>
        </w:rPr>
        <w:t>, prioritising those in regions historically reliant on coal or other fossil fuels.</w:t>
      </w:r>
      <w:r>
        <w:rPr>
          <w:b/>
          <w:sz w:val="24"/>
          <w:szCs w:val="24"/>
        </w:rPr>
        <w:t xml:space="preserve"> By promoting both </w:t>
      </w:r>
      <w:r>
        <w:rPr>
          <w:b/>
          <w:sz w:val="24"/>
          <w:szCs w:val="24"/>
        </w:rPr>
        <w:lastRenderedPageBreak/>
        <w:t>decentralised energy and green job creation, REAP aims to foster a sustainable, locally rooted energy transition</w:t>
      </w:r>
      <w:r>
        <w:rPr>
          <w:sz w:val="24"/>
          <w:szCs w:val="24"/>
        </w:rPr>
        <w:t xml:space="preserve"> that benefits both producers and consumers.</w:t>
      </w:r>
    </w:p>
    <w:p w14:paraId="5ED8D427" w14:textId="77777777" w:rsidR="00BE0E57" w:rsidRDefault="00000000">
      <w:pPr>
        <w:spacing w:after="200"/>
        <w:jc w:val="both"/>
        <w:rPr>
          <w:b/>
          <w:sz w:val="24"/>
          <w:szCs w:val="24"/>
          <w:u w:val="single"/>
        </w:rPr>
      </w:pPr>
      <w:r>
        <w:rPr>
          <w:b/>
          <w:sz w:val="24"/>
          <w:szCs w:val="24"/>
          <w:u w:val="single"/>
        </w:rPr>
        <w:t>National Action Plan for the Promotion of Nearly Zero-Energy Buildings (NZEB)</w:t>
      </w:r>
    </w:p>
    <w:p w14:paraId="3F4FD733" w14:textId="77777777" w:rsidR="00BE0E57" w:rsidRDefault="00000000">
      <w:pPr>
        <w:spacing w:after="200"/>
        <w:jc w:val="both"/>
        <w:rPr>
          <w:sz w:val="24"/>
          <w:szCs w:val="24"/>
        </w:rPr>
      </w:pPr>
      <w:r>
        <w:rPr>
          <w:sz w:val="24"/>
          <w:szCs w:val="24"/>
        </w:rPr>
        <w:t>The NZEB standards</w:t>
      </w:r>
      <w:r>
        <w:rPr>
          <w:sz w:val="24"/>
          <w:szCs w:val="24"/>
          <w:vertAlign w:val="superscript"/>
        </w:rPr>
        <w:footnoteReference w:id="50"/>
      </w:r>
      <w:r>
        <w:rPr>
          <w:sz w:val="24"/>
          <w:szCs w:val="24"/>
        </w:rPr>
        <w:t xml:space="preserve"> mandate that by 2025, all new buildings must have nearly zero energy consumption, meaning they achieve very high energy performance levels with a significant portion of the required energy coming from renewable sources. For existing buildings, Hungary has set a goal of retrofitting to meet NZEB standards by 2030, thus creating a pathway for a more sustainable, energy-efficient built environment.</w:t>
      </w:r>
    </w:p>
    <w:p w14:paraId="74FFA31B" w14:textId="77777777" w:rsidR="00BE0E57" w:rsidRDefault="00000000">
      <w:pPr>
        <w:spacing w:after="200"/>
        <w:jc w:val="both"/>
        <w:rPr>
          <w:sz w:val="24"/>
          <w:szCs w:val="24"/>
        </w:rPr>
      </w:pPr>
      <w:r>
        <w:rPr>
          <w:sz w:val="24"/>
          <w:szCs w:val="24"/>
        </w:rPr>
        <w:t xml:space="preserve">This transition prioritises social equity, offering financial incentives, subsidies, and grants to ensure low-income and energy-poor households can afford energy-efficient upgrades. By making these resources </w:t>
      </w:r>
      <w:r w:rsidRPr="00A20C8D">
        <w:rPr>
          <w:sz w:val="24"/>
          <w:szCs w:val="24"/>
          <w:highlight w:val="yellow"/>
        </w:rPr>
        <w:t xml:space="preserve">accessible, </w:t>
      </w:r>
      <w:r w:rsidRPr="00A20C8D">
        <w:rPr>
          <w:b/>
          <w:sz w:val="24"/>
          <w:szCs w:val="24"/>
          <w:highlight w:val="yellow"/>
        </w:rPr>
        <w:t>the plan helps mitigate the risk of increased energy bills for consumers in vulnerable groups.</w:t>
      </w:r>
      <w:r w:rsidRPr="00A20C8D">
        <w:rPr>
          <w:sz w:val="24"/>
          <w:szCs w:val="24"/>
          <w:highlight w:val="yellow"/>
        </w:rPr>
        <w:t xml:space="preserve"> It also provides opportunities for property owners to reduce long-term operating costs, benefiting from lower energy expenses and improved comfort</w:t>
      </w:r>
      <w:r>
        <w:rPr>
          <w:sz w:val="24"/>
          <w:szCs w:val="24"/>
        </w:rPr>
        <w:t>.</w:t>
      </w:r>
    </w:p>
    <w:p w14:paraId="0E212C03" w14:textId="77777777" w:rsidR="00BE0E57" w:rsidRDefault="00000000">
      <w:pPr>
        <w:spacing w:after="200"/>
        <w:jc w:val="both"/>
        <w:rPr>
          <w:sz w:val="24"/>
          <w:szCs w:val="24"/>
        </w:rPr>
      </w:pPr>
      <w:r>
        <w:rPr>
          <w:sz w:val="24"/>
          <w:szCs w:val="24"/>
        </w:rPr>
        <w:t xml:space="preserve">The plan </w:t>
      </w:r>
      <w:r w:rsidRPr="00A20C8D">
        <w:rPr>
          <w:sz w:val="24"/>
          <w:szCs w:val="24"/>
          <w:highlight w:val="yellow"/>
        </w:rPr>
        <w:t>envisions job creation in construction, energy auditing, and retrofitting, requiring skilled labour to meet growing demands for NZEB-compliant building modifications</w:t>
      </w:r>
      <w:r>
        <w:rPr>
          <w:sz w:val="24"/>
          <w:szCs w:val="24"/>
        </w:rPr>
        <w:t xml:space="preserve">. Training programs and certifications for workers ensure a skilled workforce, supporting both existing industry professionals and those transitioning from declining fossil-fuel sectors. </w:t>
      </w:r>
    </w:p>
    <w:p w14:paraId="29A22377" w14:textId="77777777" w:rsidR="00BE0E57" w:rsidRDefault="00000000">
      <w:pPr>
        <w:spacing w:after="200"/>
        <w:jc w:val="both"/>
        <w:rPr>
          <w:sz w:val="24"/>
          <w:szCs w:val="24"/>
        </w:rPr>
      </w:pPr>
      <w:r>
        <w:rPr>
          <w:sz w:val="24"/>
          <w:szCs w:val="24"/>
        </w:rPr>
        <w:t>Among NZEB-initiatives, the renovation of the "</w:t>
      </w:r>
      <w:proofErr w:type="spellStart"/>
      <w:r>
        <w:rPr>
          <w:sz w:val="24"/>
          <w:szCs w:val="24"/>
        </w:rPr>
        <w:t>Vackor</w:t>
      </w:r>
      <w:proofErr w:type="spellEnd"/>
      <w:r>
        <w:rPr>
          <w:sz w:val="24"/>
          <w:szCs w:val="24"/>
        </w:rPr>
        <w:t>" kindergarten in Budapest’s 18th District stands out as a flagship project.</w:t>
      </w:r>
      <w:r>
        <w:rPr>
          <w:sz w:val="24"/>
          <w:szCs w:val="24"/>
          <w:vertAlign w:val="superscript"/>
        </w:rPr>
        <w:footnoteReference w:id="51"/>
      </w:r>
      <w:r>
        <w:rPr>
          <w:sz w:val="24"/>
          <w:szCs w:val="24"/>
        </w:rPr>
        <w:t xml:space="preserve"> The goal was to transform this educational facility into a nearly zero-energy building, serving both environmental and educational purposes by showcasing sustainable practices to the community. High-performance insulation materials were added to the building's walls, roof, and foundation. This upgrade enhances thermal resistance, minimises heat loss during winter, and reduces heat gain in summer, thus lowering heating and cooling needs. Old windows were replaced with energy-efficient, double or triple-glazed units. These windows minimise thermal transfer, improve indoor climate comfort, and reduce noise. The upgraded windows also have low-emissivity coatings to further enhance energy performance.</w:t>
      </w:r>
    </w:p>
    <w:p w14:paraId="4C3764CC" w14:textId="77777777" w:rsidR="00BE0E57" w:rsidRDefault="00000000">
      <w:pPr>
        <w:spacing w:after="200"/>
        <w:jc w:val="both"/>
        <w:rPr>
          <w:sz w:val="24"/>
          <w:szCs w:val="24"/>
        </w:rPr>
      </w:pPr>
      <w:r>
        <w:rPr>
          <w:sz w:val="24"/>
          <w:szCs w:val="24"/>
        </w:rPr>
        <w:t>The renovation included installing solar photovoltaic panels on the roof, generating clean electricity on-site. Additionally, solar thermal collectors were installed to provide hot water, decreasing reliance on traditional energy sources and reducing operational costs. A modern ventilation system with heat recovery was installed to maintain air quality while minimising energy loss. The system recovers heat from outgoing air to preheat incoming fresh air, maintaining a comfortable indoor environment without extra heating.</w:t>
      </w:r>
    </w:p>
    <w:p w14:paraId="0422B46A" w14:textId="77777777" w:rsidR="00BE0E57" w:rsidRDefault="00000000">
      <w:pPr>
        <w:spacing w:after="200"/>
        <w:jc w:val="both"/>
        <w:rPr>
          <w:b/>
          <w:sz w:val="24"/>
          <w:szCs w:val="24"/>
        </w:rPr>
      </w:pPr>
      <w:r>
        <w:rPr>
          <w:sz w:val="24"/>
          <w:szCs w:val="24"/>
        </w:rPr>
        <w:t xml:space="preserve">These upgrades not only made the </w:t>
      </w:r>
      <w:proofErr w:type="spellStart"/>
      <w:r>
        <w:rPr>
          <w:sz w:val="24"/>
          <w:szCs w:val="24"/>
        </w:rPr>
        <w:t>Vackor</w:t>
      </w:r>
      <w:proofErr w:type="spellEnd"/>
      <w:r>
        <w:rPr>
          <w:sz w:val="24"/>
          <w:szCs w:val="24"/>
        </w:rPr>
        <w:t xml:space="preserve"> kindergarten compliant with NZEB standards but also contributed to Hungary’s broader sustainability goals.</w:t>
      </w:r>
      <w:r>
        <w:rPr>
          <w:b/>
          <w:sz w:val="24"/>
          <w:szCs w:val="24"/>
        </w:rPr>
        <w:t xml:space="preserve"> This project has provided valuable data on cost-effectiveness and implementation challenges, which will guide future NZEB renovations across Hungary.</w:t>
      </w:r>
    </w:p>
    <w:p w14:paraId="426FF2DE" w14:textId="77777777" w:rsidR="00BE0E57" w:rsidRDefault="00000000">
      <w:pPr>
        <w:spacing w:after="200"/>
        <w:jc w:val="both"/>
        <w:rPr>
          <w:b/>
          <w:sz w:val="24"/>
          <w:szCs w:val="24"/>
          <w:u w:val="single"/>
        </w:rPr>
      </w:pPr>
      <w:r>
        <w:rPr>
          <w:b/>
          <w:sz w:val="24"/>
          <w:szCs w:val="24"/>
          <w:u w:val="single"/>
        </w:rPr>
        <w:lastRenderedPageBreak/>
        <w:t>National Action Plan for Electric Mobility (Jedlik Ányos Plan 2.0)</w:t>
      </w:r>
    </w:p>
    <w:p w14:paraId="5BC4F681" w14:textId="77777777" w:rsidR="00BE0E57" w:rsidRDefault="00000000">
      <w:pPr>
        <w:spacing w:after="200"/>
        <w:jc w:val="both"/>
        <w:rPr>
          <w:sz w:val="24"/>
          <w:szCs w:val="24"/>
        </w:rPr>
      </w:pPr>
      <w:r>
        <w:rPr>
          <w:sz w:val="24"/>
          <w:szCs w:val="24"/>
        </w:rPr>
        <w:t>Hungary’s electric mobility plan outlines specific goals to increase electric vehicle adoption and the necessary supporting infrastructure.</w:t>
      </w:r>
      <w:r>
        <w:rPr>
          <w:sz w:val="24"/>
          <w:szCs w:val="24"/>
          <w:vertAlign w:val="superscript"/>
        </w:rPr>
        <w:footnoteReference w:id="52"/>
      </w:r>
      <w:r>
        <w:rPr>
          <w:sz w:val="24"/>
          <w:szCs w:val="24"/>
        </w:rPr>
        <w:t xml:space="preserve"> By 2030, Hungary aims for EVs to make up at least 50% of new car sales, with significant strides toward full electrification of public transport and a vast network of EV charging stations across the country.</w:t>
      </w:r>
    </w:p>
    <w:p w14:paraId="2E31941F" w14:textId="77777777" w:rsidR="00BE0E57" w:rsidRDefault="00000000">
      <w:pPr>
        <w:spacing w:after="200"/>
        <w:jc w:val="both"/>
        <w:rPr>
          <w:b/>
          <w:sz w:val="24"/>
          <w:szCs w:val="24"/>
        </w:rPr>
      </w:pPr>
      <w:r>
        <w:rPr>
          <w:sz w:val="24"/>
          <w:szCs w:val="24"/>
        </w:rPr>
        <w:t xml:space="preserve">The plan includes subsidies for EV purchases, tax incentives, and low-interest financing options to make EV ownership more accessible to consumers. The government has committed to expanding the EV charging network, especially in urban areas, main highways, and public transportation hubs, to ensure convenience and </w:t>
      </w:r>
      <w:r>
        <w:rPr>
          <w:b/>
          <w:sz w:val="24"/>
          <w:szCs w:val="24"/>
        </w:rPr>
        <w:t>address "range anxiety" issues</w:t>
      </w:r>
      <w:r>
        <w:rPr>
          <w:sz w:val="24"/>
          <w:szCs w:val="24"/>
        </w:rPr>
        <w:t xml:space="preserve"> for EV users. This expansion is set to grow incrementally, </w:t>
      </w:r>
      <w:r>
        <w:rPr>
          <w:b/>
          <w:sz w:val="24"/>
          <w:szCs w:val="24"/>
        </w:rPr>
        <w:t>with a goal of covering 80% of the country by 2030 and full coverage by 2035.</w:t>
      </w:r>
      <w:r>
        <w:rPr>
          <w:b/>
          <w:sz w:val="24"/>
          <w:szCs w:val="24"/>
          <w:vertAlign w:val="superscript"/>
        </w:rPr>
        <w:footnoteReference w:id="53"/>
      </w:r>
    </w:p>
    <w:p w14:paraId="3F0C3A42" w14:textId="77777777" w:rsidR="00BE0E57" w:rsidRDefault="00000000">
      <w:pPr>
        <w:spacing w:after="200"/>
        <w:jc w:val="both"/>
        <w:rPr>
          <w:sz w:val="24"/>
          <w:szCs w:val="24"/>
        </w:rPr>
      </w:pPr>
      <w:r>
        <w:rPr>
          <w:sz w:val="24"/>
          <w:szCs w:val="24"/>
        </w:rPr>
        <w:t xml:space="preserve">For producers, the plan </w:t>
      </w:r>
      <w:r>
        <w:rPr>
          <w:b/>
          <w:sz w:val="24"/>
          <w:szCs w:val="24"/>
        </w:rPr>
        <w:t>encourages investment in EV manufacturing and the development of related supply chains within Hungary</w:t>
      </w:r>
      <w:r>
        <w:rPr>
          <w:b/>
          <w:sz w:val="24"/>
          <w:szCs w:val="24"/>
          <w:vertAlign w:val="superscript"/>
        </w:rPr>
        <w:footnoteReference w:id="54"/>
      </w:r>
      <w:r>
        <w:rPr>
          <w:b/>
          <w:sz w:val="24"/>
          <w:szCs w:val="24"/>
        </w:rPr>
        <w:t>, creating job opportunities in battery production, maintenance, and charging infrastructure installation.</w:t>
      </w:r>
      <w:r>
        <w:rPr>
          <w:sz w:val="24"/>
          <w:szCs w:val="24"/>
        </w:rPr>
        <w:t xml:space="preserve"> The action plan also includes retraining programs for workers transitioning from traditional automotive roles to electric-focused ones, helping ensure that economic benefits are widely shared. Partnerships with local and international companies are encouraged to foster technology transfer and build a skilled workforce in electric mobility technologies.</w:t>
      </w:r>
    </w:p>
    <w:p w14:paraId="5323DD60" w14:textId="77777777" w:rsidR="00BE0E57" w:rsidRDefault="00000000">
      <w:pPr>
        <w:spacing w:after="200"/>
        <w:jc w:val="both"/>
        <w:rPr>
          <w:sz w:val="24"/>
          <w:szCs w:val="24"/>
        </w:rPr>
      </w:pPr>
      <w:r>
        <w:rPr>
          <w:sz w:val="24"/>
          <w:szCs w:val="24"/>
        </w:rPr>
        <w:t>The long-term objective of this plan</w:t>
      </w:r>
      <w:r>
        <w:rPr>
          <w:sz w:val="24"/>
          <w:szCs w:val="24"/>
          <w:vertAlign w:val="superscript"/>
        </w:rPr>
        <w:footnoteReference w:id="55"/>
      </w:r>
      <w:r>
        <w:rPr>
          <w:sz w:val="24"/>
          <w:szCs w:val="24"/>
        </w:rPr>
        <w:t xml:space="preserve"> is to make EVs a viable option for a wide range of consumers, including those in low-income and rural areas, supporting a fair transition for all.</w:t>
      </w:r>
    </w:p>
    <w:p w14:paraId="21F09F31" w14:textId="77777777" w:rsidR="00BE0E57" w:rsidRDefault="00000000">
      <w:pPr>
        <w:keepNext/>
        <w:keepLines/>
        <w:pBdr>
          <w:top w:val="nil"/>
          <w:left w:val="nil"/>
          <w:bottom w:val="nil"/>
          <w:right w:val="nil"/>
          <w:between w:val="nil"/>
        </w:pBdr>
        <w:tabs>
          <w:tab w:val="left" w:pos="360"/>
        </w:tabs>
        <w:spacing w:before="240" w:after="240"/>
        <w:jc w:val="both"/>
        <w:rPr>
          <w:sz w:val="24"/>
          <w:szCs w:val="24"/>
        </w:rPr>
      </w:pPr>
      <w:bookmarkStart w:id="7" w:name="_heading=h.bd1gxozb0oj1" w:colFirst="0" w:colLast="0"/>
      <w:bookmarkEnd w:id="7"/>
      <w:r>
        <w:br w:type="page"/>
      </w:r>
    </w:p>
    <w:p w14:paraId="2717E32F" w14:textId="77777777" w:rsidR="00BE0E57" w:rsidRDefault="00000000">
      <w:pPr>
        <w:pStyle w:val="Heading1"/>
        <w:tabs>
          <w:tab w:val="left" w:pos="360"/>
        </w:tabs>
      </w:pPr>
      <w:bookmarkStart w:id="8" w:name="_heading=h.3znysh7" w:colFirst="0" w:colLast="0"/>
      <w:bookmarkEnd w:id="8"/>
      <w:r>
        <w:lastRenderedPageBreak/>
        <w:t xml:space="preserve">Mobility &amp; Transport Sector </w:t>
      </w:r>
    </w:p>
    <w:p w14:paraId="5A734762" w14:textId="77777777" w:rsidR="00BE0E57" w:rsidRDefault="00000000">
      <w:pPr>
        <w:pStyle w:val="Heading2"/>
        <w:numPr>
          <w:ilvl w:val="0"/>
          <w:numId w:val="10"/>
        </w:numPr>
        <w:spacing w:after="200"/>
      </w:pPr>
      <w:bookmarkStart w:id="9" w:name="_heading=h.infd9rljrygi" w:colFirst="0" w:colLast="0"/>
      <w:bookmarkEnd w:id="9"/>
      <w:r>
        <w:t>HUNGARY’S LONG-TERM STRATEGIES IN THE MOBILITY AND TRANSPORTATION SECTOR</w:t>
      </w:r>
    </w:p>
    <w:p w14:paraId="1386551E" w14:textId="77777777" w:rsidR="00BE0E57" w:rsidRDefault="00000000">
      <w:pPr>
        <w:spacing w:after="200" w:line="276" w:lineRule="auto"/>
        <w:jc w:val="both"/>
        <w:rPr>
          <w:sz w:val="24"/>
          <w:szCs w:val="24"/>
        </w:rPr>
      </w:pPr>
      <w:r>
        <w:rPr>
          <w:b/>
          <w:sz w:val="24"/>
          <w:szCs w:val="24"/>
        </w:rPr>
        <w:t>Hungary’s strategic approach in the mobility and transport sector is deeply interconnected with broader national priorities</w:t>
      </w:r>
      <w:r>
        <w:rPr>
          <w:sz w:val="24"/>
          <w:szCs w:val="24"/>
        </w:rPr>
        <w:t xml:space="preserve"> in sustainable development, economic resilience, and environmental protection. By integrating transport objectives with energy and environmental policies, the government aims to create a cleaner, more efficient, and resilient transport infrastructure. </w:t>
      </w:r>
      <w:r>
        <w:rPr>
          <w:b/>
          <w:sz w:val="24"/>
          <w:szCs w:val="24"/>
        </w:rPr>
        <w:t>This cross-sectoral approach enables Hungary to meet domestic needs while aligning with EU targets for climate action and sustainable economic growth.</w:t>
      </w:r>
      <w:r>
        <w:rPr>
          <w:sz w:val="24"/>
          <w:szCs w:val="24"/>
        </w:rPr>
        <w:t xml:space="preserve"> Hungary’s transport and mobility strategies lay the groundwork for a resilient, connected, sustainable, and inclusive future. </w:t>
      </w:r>
      <w:r>
        <w:rPr>
          <w:i/>
          <w:sz w:val="24"/>
          <w:szCs w:val="24"/>
        </w:rPr>
        <w:t>Each strategy, tailored to meet the unique needs of the country's transport infrastructure, while aligning with the EU’s Green Deal and climate objectives.</w:t>
      </w:r>
      <w:r>
        <w:rPr>
          <w:sz w:val="24"/>
          <w:szCs w:val="24"/>
        </w:rPr>
        <w:t xml:space="preserve"> </w:t>
      </w:r>
    </w:p>
    <w:p w14:paraId="237C2390" w14:textId="77777777" w:rsidR="00BE0E57" w:rsidRDefault="00000000">
      <w:pPr>
        <w:spacing w:after="200" w:line="276" w:lineRule="auto"/>
        <w:jc w:val="both"/>
        <w:rPr>
          <w:sz w:val="24"/>
          <w:szCs w:val="24"/>
        </w:rPr>
      </w:pPr>
      <w:r>
        <w:rPr>
          <w:sz w:val="24"/>
          <w:szCs w:val="24"/>
        </w:rPr>
        <w:t>Transport remains a major contributor to Hungary’s greenhouse gas (GHG) emissions. In 2022, the transport sector accounted for approximately 25.3% of Hungary's total GHG emissions, up from 21.9% in 2021.</w:t>
      </w:r>
      <w:r>
        <w:rPr>
          <w:sz w:val="24"/>
          <w:szCs w:val="24"/>
          <w:vertAlign w:val="superscript"/>
        </w:rPr>
        <w:footnoteReference w:id="56"/>
      </w:r>
      <w:r>
        <w:rPr>
          <w:sz w:val="24"/>
          <w:szCs w:val="24"/>
        </w:rPr>
        <w:t xml:space="preserve"> Road transport</w:t>
      </w:r>
      <w:proofErr w:type="gramStart"/>
      <w:r>
        <w:rPr>
          <w:sz w:val="24"/>
          <w:szCs w:val="24"/>
        </w:rPr>
        <w:t>, in particular, is</w:t>
      </w:r>
      <w:proofErr w:type="gramEnd"/>
      <w:r>
        <w:rPr>
          <w:sz w:val="24"/>
          <w:szCs w:val="24"/>
        </w:rPr>
        <w:t xml:space="preserve"> the largest source of these emissions. To address this, Hungary’s strategy focuses on decarbonising the sector, in line with the EU’s </w:t>
      </w:r>
      <w:r>
        <w:rPr>
          <w:i/>
          <w:sz w:val="24"/>
          <w:szCs w:val="24"/>
        </w:rPr>
        <w:t>"Fit for 55"</w:t>
      </w:r>
      <w:r>
        <w:rPr>
          <w:sz w:val="24"/>
          <w:szCs w:val="24"/>
        </w:rPr>
        <w:t xml:space="preserve"> package</w:t>
      </w:r>
      <w:r>
        <w:rPr>
          <w:sz w:val="24"/>
          <w:szCs w:val="24"/>
          <w:vertAlign w:val="superscript"/>
        </w:rPr>
        <w:footnoteReference w:id="57"/>
      </w:r>
      <w:r>
        <w:rPr>
          <w:sz w:val="24"/>
          <w:szCs w:val="24"/>
        </w:rPr>
        <w:t>, which mandates a collective reduction of GHG emissions by at least 55% by 2030 compared to 1990 levels.</w:t>
      </w:r>
    </w:p>
    <w:p w14:paraId="6C6CFF9C" w14:textId="77777777" w:rsidR="00BE0E57" w:rsidRDefault="00000000">
      <w:pPr>
        <w:spacing w:after="200" w:line="276" w:lineRule="auto"/>
        <w:jc w:val="both"/>
        <w:rPr>
          <w:sz w:val="24"/>
          <w:szCs w:val="24"/>
        </w:rPr>
      </w:pPr>
      <w:r>
        <w:rPr>
          <w:sz w:val="24"/>
          <w:szCs w:val="24"/>
        </w:rPr>
        <w:t xml:space="preserve">Hungary aims to decrease reliance on fossil fuels by promoting alternative energy sources and enhancing energy efficiency in the transport sector. The </w:t>
      </w:r>
      <w:r>
        <w:rPr>
          <w:b/>
          <w:sz w:val="24"/>
          <w:szCs w:val="24"/>
          <w:u w:val="single"/>
        </w:rPr>
        <w:t>National Energy and Climate Plan (NECP)</w:t>
      </w:r>
      <w:r>
        <w:rPr>
          <w:b/>
          <w:sz w:val="24"/>
          <w:szCs w:val="24"/>
        </w:rPr>
        <w:t xml:space="preserve"> </w:t>
      </w:r>
      <w:r>
        <w:rPr>
          <w:sz w:val="24"/>
          <w:szCs w:val="24"/>
        </w:rPr>
        <w:t>sets the target for renewable energy to contribute at least 14% of total energy in the transport sector by 2030.</w:t>
      </w:r>
      <w:r>
        <w:rPr>
          <w:sz w:val="24"/>
          <w:szCs w:val="24"/>
          <w:vertAlign w:val="superscript"/>
        </w:rPr>
        <w:footnoteReference w:id="58"/>
      </w:r>
      <w:r>
        <w:rPr>
          <w:sz w:val="24"/>
          <w:szCs w:val="24"/>
        </w:rPr>
        <w:t xml:space="preserve"> </w:t>
      </w:r>
    </w:p>
    <w:p w14:paraId="2C96FBA2" w14:textId="77777777" w:rsidR="00BE0E57" w:rsidRDefault="00000000">
      <w:pPr>
        <w:spacing w:after="200" w:line="276" w:lineRule="auto"/>
        <w:jc w:val="both"/>
        <w:rPr>
          <w:sz w:val="24"/>
          <w:szCs w:val="24"/>
        </w:rPr>
      </w:pPr>
      <w:r>
        <w:rPr>
          <w:sz w:val="24"/>
          <w:szCs w:val="24"/>
        </w:rPr>
        <w:t xml:space="preserve">To achieve this, the increase of </w:t>
      </w:r>
      <w:r>
        <w:rPr>
          <w:b/>
          <w:sz w:val="24"/>
          <w:szCs w:val="24"/>
        </w:rPr>
        <w:t>the share of first-generation biofuels produced from food crops and fodder plants to approximately 7%, and second-generation biofuels produced from waste and biogas to 3.5% of the final energy consumption in transport.</w:t>
      </w:r>
      <w:r>
        <w:rPr>
          <w:sz w:val="24"/>
          <w:szCs w:val="24"/>
        </w:rPr>
        <w:t xml:space="preserve"> The remaining portion of the target is expected to be met through a significant increase in electricity usage within the transport sector.</w:t>
      </w:r>
    </w:p>
    <w:p w14:paraId="37404859" w14:textId="77777777" w:rsidR="00BE0E57" w:rsidRDefault="00000000">
      <w:pPr>
        <w:spacing w:after="200" w:line="276" w:lineRule="auto"/>
        <w:jc w:val="both"/>
        <w:rPr>
          <w:sz w:val="24"/>
          <w:szCs w:val="24"/>
        </w:rPr>
      </w:pPr>
      <w:r>
        <w:rPr>
          <w:sz w:val="24"/>
          <w:szCs w:val="24"/>
        </w:rPr>
        <w:t>The process includes investments in electric vehicle infrastructure, meaning the installation of 12.000 EV charging points by 2030 to support the EV stock in the country.</w:t>
      </w:r>
      <w:r>
        <w:rPr>
          <w:b/>
          <w:sz w:val="24"/>
          <w:szCs w:val="24"/>
        </w:rPr>
        <w:t xml:space="preserve"> </w:t>
      </w:r>
      <w:r>
        <w:rPr>
          <w:sz w:val="24"/>
          <w:szCs w:val="24"/>
        </w:rPr>
        <w:t xml:space="preserve">Also, </w:t>
      </w:r>
      <w:r>
        <w:rPr>
          <w:b/>
          <w:sz w:val="24"/>
          <w:szCs w:val="24"/>
        </w:rPr>
        <w:t>there are incentives in place for public and private entities to adopt these changes,</w:t>
      </w:r>
      <w:r>
        <w:rPr>
          <w:sz w:val="24"/>
          <w:szCs w:val="24"/>
        </w:rPr>
        <w:t xml:space="preserve"> with the ambitious goal to double the annual number of EV registrations to reach the target of 200.000 EVs by 2030</w:t>
      </w:r>
      <w:r>
        <w:rPr>
          <w:sz w:val="24"/>
          <w:szCs w:val="24"/>
          <w:vertAlign w:val="superscript"/>
        </w:rPr>
        <w:footnoteReference w:id="59"/>
      </w:r>
      <w:r>
        <w:rPr>
          <w:sz w:val="24"/>
          <w:szCs w:val="24"/>
        </w:rPr>
        <w:t>.</w:t>
      </w:r>
    </w:p>
    <w:p w14:paraId="382457A6" w14:textId="77777777" w:rsidR="00BE0E57" w:rsidRDefault="00000000">
      <w:pPr>
        <w:spacing w:after="200" w:line="276" w:lineRule="auto"/>
        <w:jc w:val="both"/>
        <w:rPr>
          <w:sz w:val="24"/>
          <w:szCs w:val="24"/>
        </w:rPr>
      </w:pPr>
      <w:r>
        <w:rPr>
          <w:sz w:val="24"/>
          <w:szCs w:val="24"/>
        </w:rPr>
        <w:lastRenderedPageBreak/>
        <w:t xml:space="preserve">The strategy includes having higher fuel efficiency standards for vehicles to reduce fuel consumptions and GHG emissions. The government has two targets to reach to support this action by 2030: a) 20% improvement in fuel efficiency and b) increasing the share of low-emission vehicles in public transport to at least 50%. </w:t>
      </w:r>
    </w:p>
    <w:p w14:paraId="6543428F" w14:textId="77777777" w:rsidR="00BE0E57" w:rsidRDefault="00000000">
      <w:pPr>
        <w:spacing w:after="200" w:line="276" w:lineRule="auto"/>
        <w:jc w:val="both"/>
        <w:rPr>
          <w:i/>
          <w:sz w:val="24"/>
          <w:szCs w:val="24"/>
        </w:rPr>
      </w:pPr>
      <w:r>
        <w:rPr>
          <w:sz w:val="24"/>
          <w:szCs w:val="24"/>
        </w:rPr>
        <w:t xml:space="preserve">As indicated in the previous section about energy, </w:t>
      </w:r>
      <w:r>
        <w:rPr>
          <w:b/>
          <w:sz w:val="24"/>
          <w:szCs w:val="24"/>
        </w:rPr>
        <w:t>hydrogen is a key focus area for decarbonising heavy-duty and long-haul transport sectors.</w:t>
      </w:r>
      <w:r>
        <w:rPr>
          <w:sz w:val="24"/>
          <w:szCs w:val="24"/>
        </w:rPr>
        <w:t xml:space="preserve"> Given its energy density and low emissions, hydrogen presents a viable alternative for industries and sectors that are challenging to electrify fully. Hungary’s </w:t>
      </w:r>
      <w:r>
        <w:rPr>
          <w:b/>
          <w:sz w:val="24"/>
          <w:szCs w:val="24"/>
          <w:u w:val="single"/>
        </w:rPr>
        <w:t>National Hydrogen Strategy (NHS)</w:t>
      </w:r>
      <w:r>
        <w:rPr>
          <w:sz w:val="24"/>
          <w:szCs w:val="24"/>
          <w:vertAlign w:val="superscript"/>
        </w:rPr>
        <w:footnoteReference w:id="60"/>
      </w:r>
      <w:r>
        <w:rPr>
          <w:sz w:val="24"/>
          <w:szCs w:val="24"/>
        </w:rPr>
        <w:t xml:space="preserve"> has laid out a roadmap to </w:t>
      </w:r>
      <w:r>
        <w:rPr>
          <w:i/>
          <w:sz w:val="24"/>
          <w:szCs w:val="24"/>
        </w:rPr>
        <w:t>integrate hydrogen into the transport sector through extensive infrastructure and vehicle deployment initiatives.</w:t>
      </w:r>
    </w:p>
    <w:p w14:paraId="605D5E2F" w14:textId="77777777" w:rsidR="00BE0E57" w:rsidRDefault="00000000">
      <w:pPr>
        <w:spacing w:after="200" w:line="276" w:lineRule="auto"/>
        <w:jc w:val="both"/>
        <w:rPr>
          <w:sz w:val="24"/>
          <w:szCs w:val="24"/>
        </w:rPr>
      </w:pPr>
      <w:r>
        <w:rPr>
          <w:sz w:val="24"/>
          <w:szCs w:val="24"/>
        </w:rPr>
        <w:t xml:space="preserve">By 2030, Hungary aims to establish </w:t>
      </w:r>
      <w:r>
        <w:rPr>
          <w:b/>
          <w:sz w:val="24"/>
          <w:szCs w:val="24"/>
        </w:rPr>
        <w:t>at least 50 hydrogen refuelling stations</w:t>
      </w:r>
      <w:r>
        <w:rPr>
          <w:sz w:val="24"/>
          <w:szCs w:val="24"/>
        </w:rPr>
        <w:t>, strategically located across major transportation corridors and urban centres to support both domestic and cross-border travel for hydrogen-</w:t>
      </w:r>
      <w:proofErr w:type="spellStart"/>
      <w:r>
        <w:rPr>
          <w:sz w:val="24"/>
          <w:szCs w:val="24"/>
        </w:rPr>
        <w:t>fueled</w:t>
      </w:r>
      <w:proofErr w:type="spellEnd"/>
      <w:r>
        <w:rPr>
          <w:sz w:val="24"/>
          <w:szCs w:val="24"/>
        </w:rPr>
        <w:t xml:space="preserve"> vehicles. Initial stations will be placed in high-traffic zones like Budapest and along critical highways, with an incremental roll-out plan to ensure connectivity throughout the country. Infrastructure development will focus on accessibility for both commercial and passenger vehicles, ensuring seamless, wide-reaching hydrogen availability.</w:t>
      </w:r>
    </w:p>
    <w:p w14:paraId="78F32309" w14:textId="77777777" w:rsidR="00BE0E57" w:rsidRDefault="00000000">
      <w:pPr>
        <w:spacing w:after="200" w:line="276" w:lineRule="auto"/>
        <w:jc w:val="both"/>
        <w:rPr>
          <w:sz w:val="24"/>
          <w:szCs w:val="24"/>
        </w:rPr>
      </w:pPr>
      <w:r>
        <w:rPr>
          <w:b/>
          <w:sz w:val="24"/>
          <w:szCs w:val="24"/>
        </w:rPr>
        <w:t>Another goal is to deploy approximately 4,800 hydrogen-powered vehicles by 2030, with a significant emphasis on heavy-duty vehicles with a minimum of 500</w:t>
      </w:r>
      <w:r>
        <w:rPr>
          <w:sz w:val="24"/>
          <w:szCs w:val="24"/>
        </w:rPr>
        <w:t>, with support for industries that rely heavily on logistics, such as freight, construction, and agriculture. Initial incentives and subsidies will be provided to logistics companies and fleet operators for the purchase of hydrogen trucks, with plans to scale this support as adoption rises. Collaborations with vehicle manufacturers and international logistics providers aim to promote the shift toward hydrogen-powered fleets, with the intention of positioning Hungary as a leader in sustainable heavy-duty transportation within Central Europe.</w:t>
      </w:r>
    </w:p>
    <w:p w14:paraId="22941B0A" w14:textId="77777777" w:rsidR="00BE0E57" w:rsidRDefault="00000000">
      <w:pPr>
        <w:spacing w:after="200" w:line="276" w:lineRule="auto"/>
        <w:jc w:val="both"/>
        <w:rPr>
          <w:sz w:val="24"/>
          <w:szCs w:val="24"/>
        </w:rPr>
      </w:pPr>
      <w:r>
        <w:rPr>
          <w:sz w:val="24"/>
          <w:szCs w:val="24"/>
        </w:rPr>
        <w:t>To promote the uptake of hydrogen-powered vehicles, Hungary is implementing a comprehensive policy framework that includes tax benefits, purchase subsidies, and lower registration fees for hydrogen-</w:t>
      </w:r>
      <w:proofErr w:type="spellStart"/>
      <w:r>
        <w:rPr>
          <w:sz w:val="24"/>
          <w:szCs w:val="24"/>
        </w:rPr>
        <w:t>fueled</w:t>
      </w:r>
      <w:proofErr w:type="spellEnd"/>
      <w:r>
        <w:rPr>
          <w:sz w:val="24"/>
          <w:szCs w:val="24"/>
        </w:rPr>
        <w:t xml:space="preserve"> heavy-duty vehicles. Legislative support is underway to ensure that hydrogen transport aligns with safety, environmental, and performance standards set by the EU, facilitating smoother cross-border movement of hydrogen-</w:t>
      </w:r>
      <w:proofErr w:type="spellStart"/>
      <w:r>
        <w:rPr>
          <w:sz w:val="24"/>
          <w:szCs w:val="24"/>
        </w:rPr>
        <w:t>fueled</w:t>
      </w:r>
      <w:proofErr w:type="spellEnd"/>
      <w:r>
        <w:rPr>
          <w:sz w:val="24"/>
          <w:szCs w:val="24"/>
        </w:rPr>
        <w:t xml:space="preserve"> vehicles within the European market.</w:t>
      </w:r>
    </w:p>
    <w:p w14:paraId="26DE1165" w14:textId="77777777" w:rsidR="00BE0E57" w:rsidRDefault="00000000">
      <w:pPr>
        <w:spacing w:after="200" w:line="276" w:lineRule="auto"/>
        <w:jc w:val="both"/>
        <w:rPr>
          <w:sz w:val="24"/>
          <w:szCs w:val="24"/>
        </w:rPr>
      </w:pPr>
      <w:r>
        <w:rPr>
          <w:sz w:val="24"/>
          <w:szCs w:val="24"/>
        </w:rPr>
        <w:t xml:space="preserve">Recognizing the importance of domestic hydrogen production to support the planned transport infrastructure, Hungary is investing in renewable hydrogen production facilities. By focusing on “green hydrogen”, the strategy aims to achieve a truly zero-emission solution from production to consumption. The government plans to support pilot projects in hydrogen production through electrolysis, especially utilising excess renewable energy (like wind or solar) to ensure that hydrogen remains a sustainable option for the long term. That means the </w:t>
      </w:r>
      <w:r>
        <w:rPr>
          <w:b/>
          <w:sz w:val="24"/>
          <w:szCs w:val="24"/>
        </w:rPr>
        <w:t xml:space="preserve">production of 36,000 tons of hydrogen annually by 2030, </w:t>
      </w:r>
      <w:r>
        <w:rPr>
          <w:sz w:val="24"/>
          <w:szCs w:val="24"/>
        </w:rPr>
        <w:t xml:space="preserve">with 16,000 tons from green and other carbon-free sources and 20,000 tons from low-carbon hydrogen, including the development of 240 MW of electrolysis </w:t>
      </w:r>
      <w:r>
        <w:rPr>
          <w:sz w:val="24"/>
          <w:szCs w:val="24"/>
        </w:rPr>
        <w:lastRenderedPageBreak/>
        <w:t>capacity. Partnerships with energy companies and EU funding are expected to play a key role in scaling production and ensuring a stable, cost-effective hydrogen supply chain.</w:t>
      </w:r>
    </w:p>
    <w:p w14:paraId="304E2376" w14:textId="77777777" w:rsidR="00BE0E57" w:rsidRDefault="00000000">
      <w:pPr>
        <w:spacing w:after="200" w:line="276" w:lineRule="auto"/>
        <w:jc w:val="both"/>
        <w:rPr>
          <w:i/>
          <w:sz w:val="24"/>
          <w:szCs w:val="24"/>
        </w:rPr>
      </w:pPr>
      <w:r>
        <w:rPr>
          <w:sz w:val="24"/>
          <w:szCs w:val="24"/>
        </w:rPr>
        <w:t xml:space="preserve">Hydrogen-powered vehicles produce zero tailpipe emissions, which significantly </w:t>
      </w:r>
      <w:r>
        <w:rPr>
          <w:b/>
          <w:sz w:val="24"/>
          <w:szCs w:val="24"/>
        </w:rPr>
        <w:t>reduces harmful pollutants like nitrogen oxides and particulate matter</w:t>
      </w:r>
      <w:r>
        <w:rPr>
          <w:sz w:val="24"/>
          <w:szCs w:val="24"/>
        </w:rPr>
        <w:t xml:space="preserve"> in urban areas. By focusing on sectors where traditional fuel alternatives are less feasible, such as long-haul freight, hydrogen-powered heavy-duty vehicles can play a pivotal role in reducing air pollution hotspots around highways, industrial zones, and city outskirts. </w:t>
      </w:r>
      <w:r>
        <w:rPr>
          <w:i/>
          <w:sz w:val="24"/>
          <w:szCs w:val="24"/>
        </w:rPr>
        <w:t>This shift also aligns with Hungary's goals for improving urban air quality and enhancing public health by reducing reliance on diesel-powered freight, which is a major contributor to air pollution in many regions.</w:t>
      </w:r>
    </w:p>
    <w:p w14:paraId="40B3428E" w14:textId="77777777" w:rsidR="00BE0E57" w:rsidRDefault="00000000">
      <w:pPr>
        <w:spacing w:after="200" w:line="276" w:lineRule="auto"/>
        <w:jc w:val="both"/>
        <w:rPr>
          <w:sz w:val="24"/>
          <w:szCs w:val="24"/>
        </w:rPr>
      </w:pPr>
      <w:r>
        <w:rPr>
          <w:sz w:val="24"/>
          <w:szCs w:val="24"/>
        </w:rPr>
        <w:t xml:space="preserve">The </w:t>
      </w:r>
      <w:r>
        <w:rPr>
          <w:b/>
          <w:sz w:val="24"/>
          <w:szCs w:val="24"/>
          <w:u w:val="single"/>
        </w:rPr>
        <w:t>National Transport Infrastructure Development Strategy (NTIDS)</w:t>
      </w:r>
      <w:r>
        <w:rPr>
          <w:sz w:val="24"/>
          <w:szCs w:val="24"/>
        </w:rPr>
        <w:t xml:space="preserve"> is Hungary's comprehensive long-term plan for enhancing its transport infrastructure up to the year 2050. Approved by Government Decree 1486/2014 on August 28, 2014.</w:t>
      </w:r>
    </w:p>
    <w:p w14:paraId="380D0F83" w14:textId="77777777" w:rsidR="00BE0E57" w:rsidRDefault="00000000">
      <w:pPr>
        <w:spacing w:after="200" w:line="276" w:lineRule="auto"/>
        <w:jc w:val="both"/>
        <w:rPr>
          <w:sz w:val="24"/>
          <w:szCs w:val="24"/>
        </w:rPr>
      </w:pPr>
      <w:r>
        <w:rPr>
          <w:sz w:val="24"/>
          <w:szCs w:val="24"/>
        </w:rPr>
        <w:t>The NTIDS prioritises the development of transport infrastructure that supports economic growth and boosts competitiveness on the European stage</w:t>
      </w:r>
      <w:r>
        <w:rPr>
          <w:sz w:val="24"/>
          <w:szCs w:val="24"/>
          <w:vertAlign w:val="superscript"/>
        </w:rPr>
        <w:footnoteReference w:id="61"/>
      </w:r>
      <w:r>
        <w:rPr>
          <w:sz w:val="24"/>
          <w:szCs w:val="24"/>
        </w:rPr>
        <w:t xml:space="preserve">. By improving connections within Hungary and across borders, the strategy seeks to make infrastructure developments aim </w:t>
      </w:r>
      <w:r>
        <w:rPr>
          <w:b/>
          <w:sz w:val="24"/>
          <w:szCs w:val="24"/>
        </w:rPr>
        <w:t>to reduce transit times, improve logistics, and provide more efficient links between urban and rural areas,</w:t>
      </w:r>
      <w:r>
        <w:rPr>
          <w:sz w:val="24"/>
          <w:szCs w:val="24"/>
        </w:rPr>
        <w:t xml:space="preserve"> ultimately fostering a more attractive landscape for investment and business operations. </w:t>
      </w:r>
    </w:p>
    <w:p w14:paraId="6818EAD5" w14:textId="77777777" w:rsidR="00BE0E57" w:rsidRDefault="00000000">
      <w:pPr>
        <w:spacing w:after="200" w:line="276" w:lineRule="auto"/>
        <w:jc w:val="both"/>
        <w:rPr>
          <w:sz w:val="24"/>
          <w:szCs w:val="24"/>
        </w:rPr>
      </w:pPr>
      <w:r>
        <w:rPr>
          <w:sz w:val="24"/>
          <w:szCs w:val="24"/>
        </w:rPr>
        <w:t xml:space="preserve">Environmental sustainability is a core pillar of the NTIDS, which promotes eco-friendly transport modes and technologies to mitigate the impact of transportation on the environment. Initiatives focus on </w:t>
      </w:r>
      <w:r>
        <w:rPr>
          <w:b/>
          <w:sz w:val="24"/>
          <w:szCs w:val="24"/>
        </w:rPr>
        <w:t>reducing greenhouse gas emissions, encouraging the adoption of electric vehicles, expanding the rail network, and supporting urban transit solutions</w:t>
      </w:r>
      <w:r>
        <w:rPr>
          <w:sz w:val="24"/>
          <w:szCs w:val="24"/>
        </w:rPr>
        <w:t xml:space="preserve"> that lower reliance on private car travel. </w:t>
      </w:r>
    </w:p>
    <w:p w14:paraId="1EF5C9D8" w14:textId="77777777" w:rsidR="00BE0E57" w:rsidRDefault="00000000">
      <w:pPr>
        <w:spacing w:after="200" w:line="276" w:lineRule="auto"/>
        <w:jc w:val="both"/>
        <w:rPr>
          <w:sz w:val="24"/>
          <w:szCs w:val="24"/>
        </w:rPr>
      </w:pPr>
      <w:r>
        <w:rPr>
          <w:sz w:val="24"/>
          <w:szCs w:val="24"/>
        </w:rPr>
        <w:t xml:space="preserve">The strategy prioritises the development of a transport system that </w:t>
      </w:r>
      <w:r>
        <w:rPr>
          <w:b/>
          <w:sz w:val="24"/>
          <w:szCs w:val="24"/>
        </w:rPr>
        <w:t xml:space="preserve">provides equitable access to services, education, employment, and other opportunities across Hungary. </w:t>
      </w:r>
      <w:r>
        <w:rPr>
          <w:sz w:val="24"/>
          <w:szCs w:val="24"/>
        </w:rPr>
        <w:t xml:space="preserve">Aims to reduce disparities in access and improve quality of life through better infrastructure. By having an </w:t>
      </w:r>
      <w:r>
        <w:rPr>
          <w:b/>
          <w:sz w:val="24"/>
          <w:szCs w:val="24"/>
        </w:rPr>
        <w:t>improved public transport service available, doing road expansions, and the construction of new routes</w:t>
      </w:r>
      <w:r>
        <w:rPr>
          <w:sz w:val="24"/>
          <w:szCs w:val="24"/>
        </w:rPr>
        <w:t xml:space="preserve"> - all of these provide a good environment to foster inclusive growth, ensuring that all citizens benefit from Hungary’s economic advancements.</w:t>
      </w:r>
    </w:p>
    <w:p w14:paraId="564D1C7D" w14:textId="77777777" w:rsidR="00BE0E57" w:rsidRDefault="00000000">
      <w:pPr>
        <w:spacing w:after="200" w:line="276" w:lineRule="auto"/>
        <w:jc w:val="both"/>
        <w:rPr>
          <w:sz w:val="24"/>
          <w:szCs w:val="24"/>
        </w:rPr>
      </w:pPr>
      <w:r>
        <w:rPr>
          <w:sz w:val="24"/>
          <w:szCs w:val="24"/>
        </w:rPr>
        <w:t xml:space="preserve">The NTIDS also focuses on </w:t>
      </w:r>
      <w:r>
        <w:rPr>
          <w:b/>
          <w:sz w:val="24"/>
          <w:szCs w:val="24"/>
        </w:rPr>
        <w:t>aligning the national infrastructure with the Trans-European Transport Network (TEN-T)</w:t>
      </w:r>
      <w:r>
        <w:rPr>
          <w:sz w:val="24"/>
          <w:szCs w:val="24"/>
        </w:rPr>
        <w:t xml:space="preserve">, ensuring seamless connectivity with neighbouring EU countries. This aims to facilitate cross-border movement of goods and people, streamlining transport logistics and promoting regional cohesion. </w:t>
      </w:r>
    </w:p>
    <w:p w14:paraId="674ACA04" w14:textId="77777777" w:rsidR="00BE0E57" w:rsidRDefault="00000000">
      <w:pPr>
        <w:spacing w:after="200" w:line="276" w:lineRule="auto"/>
        <w:jc w:val="both"/>
        <w:rPr>
          <w:sz w:val="24"/>
          <w:szCs w:val="24"/>
        </w:rPr>
      </w:pPr>
      <w:r>
        <w:rPr>
          <w:sz w:val="24"/>
          <w:szCs w:val="24"/>
        </w:rPr>
        <w:t xml:space="preserve">Under the umbrella of NTIDS, there are several achievements, mainly: </w:t>
      </w:r>
    </w:p>
    <w:p w14:paraId="3B34D6CB" w14:textId="77777777" w:rsidR="00BE0E57" w:rsidRDefault="00000000">
      <w:pPr>
        <w:numPr>
          <w:ilvl w:val="0"/>
          <w:numId w:val="1"/>
        </w:numPr>
        <w:spacing w:after="200" w:line="276" w:lineRule="auto"/>
        <w:jc w:val="both"/>
        <w:rPr>
          <w:sz w:val="24"/>
          <w:szCs w:val="24"/>
        </w:rPr>
      </w:pPr>
      <w:r>
        <w:rPr>
          <w:sz w:val="24"/>
          <w:szCs w:val="24"/>
        </w:rPr>
        <w:lastRenderedPageBreak/>
        <w:t>Between 2014 and 2020, Hungary invested in modernising its rail infrastructure, enhancing connectivity between major cities and integrating with the European rail system; also implemented measures to enhance road safety, including infrastructure upgrades and public awareness campaigns, resulting in a decrease in traffic accidents and fatalities. The work is not done yet, as of May, 2024 several other projects were announced: over 100,000 new seats on the railways, an increase in freight transport capacity from 50 million tons to 70 million tons per year, the possibility of 160 kilometres per hour on as many lines as possible, the development of suburban rail transport, especially in the Budapest area, the improvement of rail accessibility for the Hungarian population living beyond the borders and in neighbouring capitals, and finally, to respond to the needs of the Hungarian defence and NATO.</w:t>
      </w:r>
      <w:r>
        <w:rPr>
          <w:sz w:val="24"/>
          <w:szCs w:val="24"/>
          <w:vertAlign w:val="superscript"/>
        </w:rPr>
        <w:footnoteReference w:id="62"/>
      </w:r>
      <w:r>
        <w:rPr>
          <w:sz w:val="24"/>
          <w:szCs w:val="24"/>
        </w:rPr>
        <w:t xml:space="preserve"> </w:t>
      </w:r>
    </w:p>
    <w:p w14:paraId="7520ED54" w14:textId="77777777" w:rsidR="00BE0E57" w:rsidRDefault="00000000">
      <w:pPr>
        <w:numPr>
          <w:ilvl w:val="0"/>
          <w:numId w:val="1"/>
        </w:numPr>
        <w:spacing w:after="200" w:line="276" w:lineRule="auto"/>
        <w:jc w:val="both"/>
        <w:rPr>
          <w:sz w:val="24"/>
          <w:szCs w:val="24"/>
        </w:rPr>
      </w:pPr>
      <w:r>
        <w:rPr>
          <w:sz w:val="24"/>
          <w:szCs w:val="24"/>
        </w:rPr>
        <w:t>The Budapest–Belgrade railway modernization is underway, with the Hungarian section (152 km) expected to be completed by 2025. This project aims to enhance connectivity and reduce travel times between the two capitals.</w:t>
      </w:r>
    </w:p>
    <w:p w14:paraId="0B3DA994" w14:textId="77777777" w:rsidR="00BE0E57" w:rsidRDefault="00000000">
      <w:pPr>
        <w:numPr>
          <w:ilvl w:val="0"/>
          <w:numId w:val="1"/>
        </w:numPr>
        <w:spacing w:after="200" w:line="276" w:lineRule="auto"/>
        <w:jc w:val="both"/>
        <w:rPr>
          <w:sz w:val="24"/>
          <w:szCs w:val="24"/>
        </w:rPr>
      </w:pPr>
      <w:r>
        <w:rPr>
          <w:sz w:val="24"/>
          <w:szCs w:val="24"/>
        </w:rPr>
        <w:t xml:space="preserve">Launched in 2021, ITDOP Plus (Integrated Transport Development Operational Programme </w:t>
      </w:r>
      <w:proofErr w:type="gramStart"/>
      <w:r>
        <w:rPr>
          <w:sz w:val="24"/>
          <w:szCs w:val="24"/>
        </w:rPr>
        <w:t>Plus )</w:t>
      </w:r>
      <w:proofErr w:type="gramEnd"/>
      <w:r>
        <w:rPr>
          <w:sz w:val="24"/>
          <w:szCs w:val="24"/>
        </w:rPr>
        <w:t xml:space="preserve"> funded by the European Union, focuses on sustainable urban mobility, national rail network expansion, the </w:t>
      </w:r>
      <w:proofErr w:type="spellStart"/>
      <w:r>
        <w:rPr>
          <w:sz w:val="24"/>
          <w:szCs w:val="24"/>
        </w:rPr>
        <w:t>EuroVelo</w:t>
      </w:r>
      <w:proofErr w:type="spellEnd"/>
      <w:r>
        <w:rPr>
          <w:sz w:val="24"/>
          <w:szCs w:val="24"/>
        </w:rPr>
        <w:t xml:space="preserve"> cycling network, and road safety improvements. Achievements of this programme are: 209 km of track upgrading along the EU’s priority rail corridors, 212 km of new lines on non-TEN-T lines and the creation of 6,400 new railway seats.</w:t>
      </w:r>
      <w:r>
        <w:rPr>
          <w:sz w:val="24"/>
          <w:szCs w:val="24"/>
          <w:vertAlign w:val="superscript"/>
        </w:rPr>
        <w:footnoteReference w:id="63"/>
      </w:r>
    </w:p>
    <w:p w14:paraId="579F4232" w14:textId="77777777" w:rsidR="00BE0E57" w:rsidRDefault="00000000">
      <w:pPr>
        <w:numPr>
          <w:ilvl w:val="0"/>
          <w:numId w:val="1"/>
        </w:numPr>
        <w:spacing w:after="200" w:line="276" w:lineRule="auto"/>
        <w:jc w:val="both"/>
        <w:rPr>
          <w:sz w:val="24"/>
          <w:szCs w:val="24"/>
        </w:rPr>
      </w:pPr>
      <w:r>
        <w:rPr>
          <w:sz w:val="24"/>
          <w:szCs w:val="24"/>
        </w:rPr>
        <w:t>In July 2024, Hungary announced plans to construct a third terminal at Budapest's airport, along with new road and rail connections, aiming to transform the airport into a major hub. The project, estimated at €2 billion, is expected to be completed by 2032.</w:t>
      </w:r>
      <w:r>
        <w:rPr>
          <w:sz w:val="24"/>
          <w:szCs w:val="24"/>
          <w:vertAlign w:val="superscript"/>
        </w:rPr>
        <w:footnoteReference w:id="64"/>
      </w:r>
      <w:r>
        <w:rPr>
          <w:sz w:val="24"/>
          <w:szCs w:val="24"/>
        </w:rPr>
        <w:t xml:space="preserve"> </w:t>
      </w:r>
    </w:p>
    <w:p w14:paraId="13BB512F" w14:textId="77777777" w:rsidR="00BE0E57" w:rsidRDefault="00000000">
      <w:pPr>
        <w:spacing w:before="240" w:after="240" w:line="276" w:lineRule="auto"/>
        <w:jc w:val="both"/>
        <w:rPr>
          <w:sz w:val="24"/>
          <w:szCs w:val="24"/>
        </w:rPr>
      </w:pPr>
      <w:r>
        <w:rPr>
          <w:sz w:val="24"/>
          <w:szCs w:val="24"/>
        </w:rPr>
        <w:t xml:space="preserve">In </w:t>
      </w:r>
      <w:proofErr w:type="gramStart"/>
      <w:r>
        <w:rPr>
          <w:sz w:val="24"/>
          <w:szCs w:val="24"/>
        </w:rPr>
        <w:t>addition</w:t>
      </w:r>
      <w:proofErr w:type="gramEnd"/>
      <w:r>
        <w:rPr>
          <w:sz w:val="24"/>
          <w:szCs w:val="24"/>
        </w:rPr>
        <w:t xml:space="preserve"> the government pursues several other significant transport infrastructure projects, such as: motorway extension, expressway and road development. Hungary is also collaborating with its neighbours to develop high-speed rail connections. One is the already mentioned Budapest–Belgrade railway modernisation, with the Hungarian section expected to be completed by 2025. On the other hand, there are feasibility studies being conducted for a high-speed line between Budapest and Cluj-Napoca in </w:t>
      </w:r>
      <w:proofErr w:type="spellStart"/>
      <w:r>
        <w:rPr>
          <w:sz w:val="24"/>
          <w:szCs w:val="24"/>
        </w:rPr>
        <w:t>România</w:t>
      </w:r>
      <w:proofErr w:type="spellEnd"/>
      <w:r>
        <w:rPr>
          <w:sz w:val="24"/>
          <w:szCs w:val="24"/>
          <w:vertAlign w:val="superscript"/>
        </w:rPr>
        <w:footnoteReference w:id="65"/>
      </w:r>
      <w:r>
        <w:rPr>
          <w:sz w:val="24"/>
          <w:szCs w:val="24"/>
        </w:rPr>
        <w:t>, aiming to enhance regional connectivity.</w:t>
      </w:r>
    </w:p>
    <w:p w14:paraId="14262376" w14:textId="77777777" w:rsidR="00BE0E57" w:rsidRDefault="00BE0E57">
      <w:pPr>
        <w:spacing w:after="200" w:line="276" w:lineRule="auto"/>
        <w:jc w:val="both"/>
        <w:rPr>
          <w:sz w:val="24"/>
          <w:szCs w:val="24"/>
        </w:rPr>
      </w:pPr>
    </w:p>
    <w:p w14:paraId="162B1FDD" w14:textId="77777777" w:rsidR="00BE0E57" w:rsidRDefault="00000000">
      <w:pPr>
        <w:spacing w:after="200" w:line="276" w:lineRule="auto"/>
        <w:jc w:val="both"/>
        <w:rPr>
          <w:sz w:val="24"/>
          <w:szCs w:val="24"/>
        </w:rPr>
      </w:pPr>
      <w:r>
        <w:rPr>
          <w:sz w:val="24"/>
          <w:szCs w:val="24"/>
        </w:rPr>
        <w:t xml:space="preserve">Hungary’s </w:t>
      </w:r>
      <w:r>
        <w:rPr>
          <w:b/>
          <w:sz w:val="24"/>
          <w:szCs w:val="24"/>
          <w:u w:val="single"/>
        </w:rPr>
        <w:t>National Intelligent Transport Systems (ITS) strategy</w:t>
      </w:r>
      <w:r>
        <w:rPr>
          <w:sz w:val="24"/>
          <w:szCs w:val="24"/>
        </w:rPr>
        <w:t xml:space="preserve"> is a structured framework designed to improve the efficiency, safety, and sustainability of its transportation infrastructure. Launched in alignment with the European Union's ITS Directive (Directive 2010/40/EU), Hungary’s </w:t>
      </w:r>
      <w:r>
        <w:rPr>
          <w:sz w:val="24"/>
          <w:szCs w:val="24"/>
        </w:rPr>
        <w:lastRenderedPageBreak/>
        <w:t xml:space="preserve">approach is part of a broader European effort to enhance the interoperability and seamlessness of intelligent transport systems across member states. ITS involves the use of advanced information and communication technologies to monitor, manage, and optimise transportation operations, reduce congestion, improve safety, and provide real-time information to users. </w:t>
      </w:r>
    </w:p>
    <w:p w14:paraId="0F722B64" w14:textId="77777777" w:rsidR="00BE0E57" w:rsidRDefault="00000000">
      <w:pPr>
        <w:spacing w:after="200" w:line="276" w:lineRule="auto"/>
        <w:jc w:val="both"/>
        <w:rPr>
          <w:sz w:val="24"/>
          <w:szCs w:val="24"/>
        </w:rPr>
      </w:pPr>
      <w:r>
        <w:rPr>
          <w:sz w:val="24"/>
          <w:szCs w:val="24"/>
        </w:rPr>
        <w:t xml:space="preserve">Under the </w:t>
      </w:r>
      <w:r>
        <w:rPr>
          <w:i/>
          <w:sz w:val="24"/>
          <w:szCs w:val="24"/>
        </w:rPr>
        <w:t>Integrated Transport Development Operational Programme</w:t>
      </w:r>
      <w:r>
        <w:rPr>
          <w:sz w:val="24"/>
          <w:szCs w:val="24"/>
        </w:rPr>
        <w:t xml:space="preserve"> (IKOP)</w:t>
      </w:r>
      <w:r>
        <w:rPr>
          <w:sz w:val="24"/>
          <w:szCs w:val="24"/>
          <w:vertAlign w:val="superscript"/>
        </w:rPr>
        <w:footnoteReference w:id="66"/>
      </w:r>
      <w:r>
        <w:rPr>
          <w:sz w:val="24"/>
          <w:szCs w:val="24"/>
        </w:rPr>
        <w:t>, Hungary allocated significant resources, around EUR 3.92 billion, including national co-financing, for projects aimed at developing and implementing ITS solutions between 2014-2020. This funding supported infrastructure upgrades, technology deployment, and the creation of supportive platforms like the National Access Point (NAP; see below) for data sharing. The program primarily targeted improvements in road safety, traffic management, public transportation, and multimodal transport logistics, creating a more connected and resilient national transport network.</w:t>
      </w:r>
    </w:p>
    <w:p w14:paraId="29F76775" w14:textId="77777777" w:rsidR="00BE0E57" w:rsidRDefault="00000000">
      <w:pPr>
        <w:spacing w:after="200" w:line="276" w:lineRule="auto"/>
        <w:jc w:val="both"/>
        <w:rPr>
          <w:sz w:val="24"/>
          <w:szCs w:val="24"/>
        </w:rPr>
      </w:pPr>
      <w:r>
        <w:rPr>
          <w:sz w:val="24"/>
          <w:szCs w:val="24"/>
        </w:rPr>
        <w:t xml:space="preserve">One of the cornerstones of Hungary’s ITS framework is the </w:t>
      </w:r>
      <w:r>
        <w:rPr>
          <w:i/>
          <w:sz w:val="24"/>
          <w:szCs w:val="24"/>
        </w:rPr>
        <w:t>National Access Point (NAP)</w:t>
      </w:r>
      <w:r>
        <w:rPr>
          <w:sz w:val="24"/>
          <w:szCs w:val="24"/>
          <w:vertAlign w:val="superscript"/>
        </w:rPr>
        <w:footnoteReference w:id="67"/>
      </w:r>
      <w:r>
        <w:rPr>
          <w:sz w:val="24"/>
          <w:szCs w:val="24"/>
        </w:rPr>
        <w:t xml:space="preserve">, which serves as a centralised data exchange platform. The NAP enables the effective collection, sharing, and utilisation of transport-related data among stakeholders, such as government authorities, transport operators, and road users. The NAP facilitates data standardisation and interoperability, ensuring that different transport systems can work together seamlessly. Real-time data sharing is essential for improving traffic flow, optimising logistics, and enhancing traveller information services. Naturally, the NAP is part of the EU-wide initiative to establish similar access points across member states, contributing to a more connected European transport network. </w:t>
      </w:r>
    </w:p>
    <w:p w14:paraId="1348BBF6" w14:textId="77777777" w:rsidR="00BE0E57" w:rsidRDefault="00000000">
      <w:pPr>
        <w:spacing w:after="200" w:line="276" w:lineRule="auto"/>
        <w:jc w:val="both"/>
        <w:rPr>
          <w:sz w:val="24"/>
          <w:szCs w:val="24"/>
        </w:rPr>
      </w:pPr>
      <w:r>
        <w:rPr>
          <w:sz w:val="24"/>
          <w:szCs w:val="24"/>
        </w:rPr>
        <w:t xml:space="preserve">Hungary has invested in developing advanced traffic management and information systems </w:t>
      </w:r>
      <w:proofErr w:type="gramStart"/>
      <w:r>
        <w:rPr>
          <w:sz w:val="24"/>
          <w:szCs w:val="24"/>
        </w:rPr>
        <w:t>as a means to</w:t>
      </w:r>
      <w:proofErr w:type="gramEnd"/>
      <w:r>
        <w:rPr>
          <w:sz w:val="24"/>
          <w:szCs w:val="24"/>
        </w:rPr>
        <w:t xml:space="preserve"> monitor and control road traffic in real-time. This includes the implementation of intelligent traffic signals, traffic detection sensors, and electronic signage to inform drivers of current conditions and provide guidance. </w:t>
      </w:r>
    </w:p>
    <w:p w14:paraId="685F98A4" w14:textId="77777777" w:rsidR="00BE0E57" w:rsidRDefault="00000000">
      <w:pPr>
        <w:spacing w:after="200" w:line="276" w:lineRule="auto"/>
        <w:jc w:val="both"/>
        <w:rPr>
          <w:sz w:val="24"/>
          <w:szCs w:val="24"/>
        </w:rPr>
      </w:pPr>
      <w:r>
        <w:rPr>
          <w:sz w:val="24"/>
          <w:szCs w:val="24"/>
        </w:rPr>
        <w:t>In 2020, Hungary expanded its vision for ITS by integrating elements from the National Hydrogen Strategy, to increase alignment with EU goals for reducing carbon emissions and supports the ITS framework by preparing Hungary’s transport infrastructure for alternative fuel use.</w:t>
      </w:r>
    </w:p>
    <w:p w14:paraId="366FC856" w14:textId="77777777" w:rsidR="00BE0E57" w:rsidRDefault="00000000">
      <w:pPr>
        <w:spacing w:after="200" w:line="276" w:lineRule="auto"/>
        <w:jc w:val="both"/>
        <w:rPr>
          <w:b/>
          <w:sz w:val="24"/>
          <w:szCs w:val="24"/>
        </w:rPr>
      </w:pPr>
      <w:r>
        <w:rPr>
          <w:sz w:val="24"/>
          <w:szCs w:val="24"/>
        </w:rPr>
        <w:t xml:space="preserve">Currently, Hungary continues to enhance its </w:t>
      </w:r>
      <w:proofErr w:type="spellStart"/>
      <w:r>
        <w:rPr>
          <w:sz w:val="24"/>
          <w:szCs w:val="24"/>
        </w:rPr>
        <w:t>ITS</w:t>
      </w:r>
      <w:proofErr w:type="spellEnd"/>
      <w:r>
        <w:rPr>
          <w:sz w:val="24"/>
          <w:szCs w:val="24"/>
        </w:rPr>
        <w:t xml:space="preserve"> infrastructure with a focus on Cooperative Intelligent Transport Systems (C-ITS) through the C-ROADS project</w:t>
      </w:r>
      <w:r>
        <w:rPr>
          <w:sz w:val="24"/>
          <w:szCs w:val="24"/>
          <w:vertAlign w:val="superscript"/>
        </w:rPr>
        <w:footnoteReference w:id="68"/>
      </w:r>
      <w:r>
        <w:rPr>
          <w:sz w:val="24"/>
          <w:szCs w:val="24"/>
        </w:rPr>
        <w:t xml:space="preserve">. C-ITS are an advanced branch of ITS that enables communication between vehicles, infrastructure, and other transport elements. C-ROADS is part of an EU-wide program to establish and implement C-ITS infrastructure, which supports real-time communication between vehicles and road infrastructure (e.g., traffic lights and road signs). This technology allows for the exchange of information about road conditions, traffic incidents, and hazards, which enhances safety and helps to prevent accidents. </w:t>
      </w:r>
      <w:r>
        <w:rPr>
          <w:b/>
          <w:sz w:val="24"/>
          <w:szCs w:val="24"/>
        </w:rPr>
        <w:t xml:space="preserve">The C-ROADS project in Hungary is expected to improve traffic efficiency, reduce accidents, and provide users with enhanced route planning and navigation options, particularly in urban areas. </w:t>
      </w:r>
      <w:r>
        <w:rPr>
          <w:b/>
          <w:sz w:val="24"/>
          <w:szCs w:val="24"/>
        </w:rPr>
        <w:lastRenderedPageBreak/>
        <w:t>This project, expected to mature over the coming years, aims to establish real-time communication between vehicles and transport infrastructure.</w:t>
      </w:r>
    </w:p>
    <w:p w14:paraId="79654F46" w14:textId="77777777" w:rsidR="00BE0E57" w:rsidRDefault="00000000">
      <w:pPr>
        <w:spacing w:after="200" w:line="276" w:lineRule="auto"/>
        <w:jc w:val="both"/>
        <w:rPr>
          <w:sz w:val="24"/>
          <w:szCs w:val="24"/>
        </w:rPr>
      </w:pPr>
      <w:r>
        <w:rPr>
          <w:sz w:val="24"/>
          <w:szCs w:val="24"/>
        </w:rPr>
        <w:t>Smart mobility is a central aspect of Hungary's ITS strategy, involving the use of digital tools to create "digital twins" of real-world transport situations. Hungary showcased its advancements in smart mobility at the ITS World Congress</w:t>
      </w:r>
      <w:r>
        <w:rPr>
          <w:sz w:val="24"/>
          <w:szCs w:val="24"/>
          <w:vertAlign w:val="superscript"/>
        </w:rPr>
        <w:footnoteReference w:id="69"/>
      </w:r>
      <w:r>
        <w:rPr>
          <w:sz w:val="24"/>
          <w:szCs w:val="24"/>
        </w:rPr>
        <w:t xml:space="preserve">, where it introduced its digital twin projects. These projects allow for better planning and management of transportation systems by predicting traffic patterns and identifying potential bottlenecks. </w:t>
      </w:r>
    </w:p>
    <w:p w14:paraId="3E9F2DEF" w14:textId="77777777" w:rsidR="00BE0E57" w:rsidRDefault="00000000">
      <w:pPr>
        <w:spacing w:after="200" w:line="276" w:lineRule="auto"/>
        <w:jc w:val="both"/>
        <w:rPr>
          <w:sz w:val="24"/>
          <w:szCs w:val="24"/>
        </w:rPr>
      </w:pPr>
      <w:r>
        <w:rPr>
          <w:sz w:val="24"/>
          <w:szCs w:val="24"/>
        </w:rPr>
        <w:t>Hungary’s transport and mobility strategies recognize the importance of creating a system resilient to both climate-related disruptions and energy market volatility. As the energy sector transitions toward renewable sources, the transport sector must adapt to fluctuations in energy availability and costs. This resilience goal focuses on diversifying energy sources for transport, such as incorporating electric and hydrogen vehicles, to reduce dependency on traditional fossil fuels and ensure consistent energy supply, even during energy crisis.</w:t>
      </w:r>
    </w:p>
    <w:p w14:paraId="7BB20D40" w14:textId="77777777" w:rsidR="00BE0E57" w:rsidRDefault="00000000">
      <w:pPr>
        <w:spacing w:after="200" w:line="276" w:lineRule="auto"/>
        <w:jc w:val="both"/>
        <w:rPr>
          <w:sz w:val="24"/>
          <w:szCs w:val="24"/>
        </w:rPr>
      </w:pPr>
      <w:r>
        <w:rPr>
          <w:sz w:val="24"/>
          <w:szCs w:val="24"/>
        </w:rPr>
        <w:t>In practical terms, this involves creating infrastructure that supports various types of alternative energy vehicles and integrating smart energy management systems. This approach not only makes the transport sector more robust against external shocks but also aligns Hungary with EU climate goals by reducing its carbon footprint and preparing for a low-carbon future.</w:t>
      </w:r>
    </w:p>
    <w:p w14:paraId="78B351DF" w14:textId="77777777" w:rsidR="00BE0E57" w:rsidRDefault="00000000">
      <w:pPr>
        <w:spacing w:after="200" w:line="276" w:lineRule="auto"/>
        <w:jc w:val="both"/>
        <w:rPr>
          <w:sz w:val="24"/>
          <w:szCs w:val="24"/>
        </w:rPr>
      </w:pPr>
      <w:r>
        <w:rPr>
          <w:sz w:val="24"/>
          <w:szCs w:val="24"/>
        </w:rPr>
        <w:t xml:space="preserve">Hungary's cycling infrastructure expansion plan, outlined in the </w:t>
      </w:r>
      <w:r>
        <w:rPr>
          <w:b/>
          <w:sz w:val="24"/>
          <w:szCs w:val="24"/>
        </w:rPr>
        <w:t>National Cycling Strategy 2030</w:t>
      </w:r>
      <w:r>
        <w:rPr>
          <w:b/>
          <w:sz w:val="24"/>
          <w:szCs w:val="24"/>
          <w:vertAlign w:val="superscript"/>
        </w:rPr>
        <w:footnoteReference w:id="70"/>
      </w:r>
      <w:r>
        <w:rPr>
          <w:sz w:val="24"/>
          <w:szCs w:val="24"/>
        </w:rPr>
        <w:t xml:space="preserve">, is a key element of the country's broader sustainable transport goals. The targets are simple: by 2030, Hungary aims to increase its cycling network by 20%, reaching a total of approximately 15,000 kilometres of cycling paths nationwide. </w:t>
      </w:r>
    </w:p>
    <w:p w14:paraId="1258E182" w14:textId="77777777" w:rsidR="00BE0E57" w:rsidRDefault="00000000">
      <w:pPr>
        <w:spacing w:after="200" w:line="276" w:lineRule="auto"/>
        <w:jc w:val="both"/>
        <w:rPr>
          <w:sz w:val="24"/>
          <w:szCs w:val="24"/>
        </w:rPr>
      </w:pPr>
      <w:r>
        <w:rPr>
          <w:sz w:val="24"/>
          <w:szCs w:val="24"/>
        </w:rPr>
        <w:t xml:space="preserve">Aligning with the EU’s Green Deal, by increasing cycling infrastructure supports reducing greenhouse gas emissions by providing an alternative to car-based commuting, especially for short trips that contribute disproportionately to air pollution and traffic. Furthermore, promoting cycling as a daily habit offers significant public health benefits, encouraging physical activity and reducing the health risks associated with sedentary lifestyles. The strategy complements Hungary’s </w:t>
      </w:r>
      <w:r>
        <w:rPr>
          <w:i/>
          <w:sz w:val="24"/>
          <w:szCs w:val="24"/>
        </w:rPr>
        <w:t>National Energy and Climate Plan</w:t>
      </w:r>
      <w:r>
        <w:rPr>
          <w:sz w:val="24"/>
          <w:szCs w:val="24"/>
        </w:rPr>
        <w:t xml:space="preserve"> and the EU’s </w:t>
      </w:r>
      <w:r>
        <w:rPr>
          <w:i/>
          <w:sz w:val="24"/>
          <w:szCs w:val="24"/>
        </w:rPr>
        <w:t>Sustainable and Smart Mobility Strategy</w:t>
      </w:r>
      <w:r>
        <w:rPr>
          <w:sz w:val="24"/>
          <w:szCs w:val="24"/>
        </w:rPr>
        <w:t xml:space="preserve">, which collectively encourage investment in green transport options. </w:t>
      </w:r>
    </w:p>
    <w:p w14:paraId="76CFF7B0" w14:textId="77777777" w:rsidR="00BE0E57" w:rsidRDefault="00000000">
      <w:pPr>
        <w:spacing w:after="200" w:line="276" w:lineRule="auto"/>
        <w:jc w:val="both"/>
        <w:rPr>
          <w:sz w:val="24"/>
          <w:szCs w:val="24"/>
        </w:rPr>
      </w:pPr>
      <w:r>
        <w:rPr>
          <w:sz w:val="24"/>
          <w:szCs w:val="24"/>
        </w:rPr>
        <w:t xml:space="preserve">As the last strategy we mention, we cannot leave out that Hungary's </w:t>
      </w:r>
      <w:r>
        <w:rPr>
          <w:b/>
          <w:sz w:val="24"/>
          <w:szCs w:val="24"/>
          <w:u w:val="single"/>
        </w:rPr>
        <w:t>National Battery Industry Strategy 2030</w:t>
      </w:r>
      <w:r>
        <w:rPr>
          <w:i/>
          <w:sz w:val="24"/>
          <w:szCs w:val="24"/>
          <w:vertAlign w:val="superscript"/>
        </w:rPr>
        <w:footnoteReference w:id="71"/>
      </w:r>
      <w:r>
        <w:rPr>
          <w:sz w:val="24"/>
          <w:szCs w:val="24"/>
        </w:rPr>
        <w:t xml:space="preserve"> outlines a transformative roadmap aimed at developing a sustainable battery production sector that should contribute to both economic growth and environmental objectives. The existence of battery industries is just as debated in Hungary as the Paks II project. </w:t>
      </w:r>
    </w:p>
    <w:p w14:paraId="235E155F" w14:textId="77777777" w:rsidR="00BE0E57" w:rsidRDefault="00000000">
      <w:pPr>
        <w:spacing w:after="200" w:line="276" w:lineRule="auto"/>
        <w:jc w:val="both"/>
        <w:rPr>
          <w:sz w:val="24"/>
          <w:szCs w:val="24"/>
        </w:rPr>
      </w:pPr>
      <w:r>
        <w:rPr>
          <w:sz w:val="24"/>
          <w:szCs w:val="24"/>
        </w:rPr>
        <w:lastRenderedPageBreak/>
        <w:t xml:space="preserve">However, </w:t>
      </w:r>
      <w:r>
        <w:rPr>
          <w:i/>
          <w:sz w:val="24"/>
          <w:szCs w:val="24"/>
        </w:rPr>
        <w:t>this strategy is highly important in the context of mobility and transport, where the transition to battery-powered vehicles is a central objective to Hungary’s commitment to a green economy</w:t>
      </w:r>
      <w:r>
        <w:rPr>
          <w:sz w:val="24"/>
          <w:szCs w:val="24"/>
        </w:rPr>
        <w:t xml:space="preserve">. The National Battery Industry Strategy 2030 situates battery technology as a must-have of Hungary’s approach to create sustainable </w:t>
      </w:r>
      <w:proofErr w:type="gramStart"/>
      <w:r>
        <w:rPr>
          <w:sz w:val="24"/>
          <w:szCs w:val="24"/>
        </w:rPr>
        <w:t>transportation, and</w:t>
      </w:r>
      <w:proofErr w:type="gramEnd"/>
      <w:r>
        <w:rPr>
          <w:sz w:val="24"/>
          <w:szCs w:val="24"/>
        </w:rPr>
        <w:t xml:space="preserve"> declares its vital role in the shift from internal combustion engines to EVs. </w:t>
      </w:r>
      <w:r>
        <w:rPr>
          <w:i/>
          <w:sz w:val="24"/>
          <w:szCs w:val="24"/>
        </w:rPr>
        <w:t>This transition is stated to be essential for aligning Hungary’s mobility sector with the European Union’s climate neutrality objectives for 2050.</w:t>
      </w:r>
      <w:r>
        <w:rPr>
          <w:sz w:val="24"/>
          <w:szCs w:val="24"/>
        </w:rPr>
        <w:t xml:space="preserve"> The government believes that by developing a robust domestic battery industry, it can fortify its automotive sector, making it competitive within a global market increasingly driven by electrification. With its central location in Europe and a mature automotive industry, the country has the strategic advantage to integrate battery production and successfully -</w:t>
      </w:r>
      <w:r>
        <w:rPr>
          <w:i/>
          <w:sz w:val="24"/>
          <w:szCs w:val="24"/>
        </w:rPr>
        <w:t xml:space="preserve"> locally </w:t>
      </w:r>
      <w:r>
        <w:rPr>
          <w:sz w:val="24"/>
          <w:szCs w:val="24"/>
        </w:rPr>
        <w:t>- support the deployment of EVs across the continent.</w:t>
      </w:r>
      <w:r>
        <w:rPr>
          <w:sz w:val="24"/>
          <w:szCs w:val="24"/>
          <w:vertAlign w:val="superscript"/>
        </w:rPr>
        <w:footnoteReference w:id="72"/>
      </w:r>
      <w:r>
        <w:rPr>
          <w:sz w:val="24"/>
          <w:szCs w:val="24"/>
        </w:rPr>
        <w:t xml:space="preserve"> </w:t>
      </w:r>
    </w:p>
    <w:p w14:paraId="6B66AFDB" w14:textId="77777777" w:rsidR="00BE0E57" w:rsidRDefault="00000000">
      <w:pPr>
        <w:spacing w:after="200" w:line="276" w:lineRule="auto"/>
        <w:jc w:val="both"/>
        <w:rPr>
          <w:sz w:val="24"/>
          <w:szCs w:val="24"/>
        </w:rPr>
      </w:pPr>
      <w:r>
        <w:rPr>
          <w:sz w:val="24"/>
          <w:szCs w:val="24"/>
        </w:rPr>
        <w:t xml:space="preserve">The strategy states a couple of ambitious goals to reach the country’s economic and climate visions. By 2030, Hungary aspires to be a leader in the European battery value chain, meaning the fostering of innovation, securing foreign investments, and supporting domestic industry players to create a sustainable market ecosystem. It places itself in a central role to Hungary’s energy and transport policy with the facilitation of electric mobility to meet both national and European decarbonisation targets. </w:t>
      </w:r>
      <w:r>
        <w:rPr>
          <w:b/>
          <w:sz w:val="24"/>
          <w:szCs w:val="24"/>
        </w:rPr>
        <w:t>Supporting the production of EVs through local battery manufacturing is expected to significantly lower transport-related emissions</w:t>
      </w:r>
      <w:r>
        <w:rPr>
          <w:sz w:val="24"/>
          <w:szCs w:val="24"/>
        </w:rPr>
        <w:t xml:space="preserve">. Naturally, there is a focus on battery production that wants to reduce Hungary's reliance on imported fossil fuels. With a domestic supply of batteries for EVs and energy storage, Hungary seeks to mitigate energy insecurity and economic vulnerability to fluctuating global fuel prices. </w:t>
      </w:r>
    </w:p>
    <w:p w14:paraId="5D75564C" w14:textId="77777777" w:rsidR="00BE0E57" w:rsidRDefault="00000000">
      <w:pPr>
        <w:spacing w:after="200" w:line="276" w:lineRule="auto"/>
        <w:jc w:val="both"/>
        <w:rPr>
          <w:sz w:val="24"/>
          <w:szCs w:val="24"/>
        </w:rPr>
      </w:pPr>
      <w:r>
        <w:rPr>
          <w:sz w:val="24"/>
          <w:szCs w:val="24"/>
        </w:rPr>
        <w:t xml:space="preserve">To ensure all these aspirations are met, there are significant infrastructure developments in place already (battery factories in </w:t>
      </w:r>
      <w:proofErr w:type="spellStart"/>
      <w:r>
        <w:rPr>
          <w:sz w:val="24"/>
          <w:szCs w:val="24"/>
        </w:rPr>
        <w:t>Göd</w:t>
      </w:r>
      <w:proofErr w:type="spellEnd"/>
      <w:r>
        <w:rPr>
          <w:sz w:val="24"/>
          <w:szCs w:val="24"/>
        </w:rPr>
        <w:t xml:space="preserve">, Debrecen). Also, the country has ongoing investments in promoting research and development in battery technology (safety, performance and sustainability), which </w:t>
      </w:r>
      <w:proofErr w:type="spellStart"/>
      <w:r>
        <w:rPr>
          <w:sz w:val="24"/>
          <w:szCs w:val="24"/>
        </w:rPr>
        <w:t>inline</w:t>
      </w:r>
      <w:proofErr w:type="spellEnd"/>
      <w:r>
        <w:rPr>
          <w:sz w:val="24"/>
          <w:szCs w:val="24"/>
        </w:rPr>
        <w:t xml:space="preserve"> with the European Battery Alliance’s objectives. As it is a constantly evolving industry, the strategy envisions an increase in work opportunities, thus provisioning training programs to equip the workforce with expertise in battery and EV technology.</w:t>
      </w:r>
    </w:p>
    <w:p w14:paraId="797C979E" w14:textId="77777777" w:rsidR="00BE0E57" w:rsidRDefault="00000000">
      <w:pPr>
        <w:spacing w:after="200" w:line="276" w:lineRule="auto"/>
        <w:jc w:val="both"/>
        <w:rPr>
          <w:sz w:val="24"/>
          <w:szCs w:val="24"/>
        </w:rPr>
      </w:pPr>
      <w:r>
        <w:rPr>
          <w:sz w:val="24"/>
          <w:szCs w:val="24"/>
        </w:rPr>
        <w:t>The National Battery Industry Strategy 2030 accepts and discusses that the energy sector’s transition may disproportionately affect vulnerable populations, particularly those employed in traditional automotive and fossil fuel industries. Consequently, the strategy prioritises social policies that ensure an equitable transition. E.g. retraining programs for workers to facilitate entry into emerging sectors; financial support for small and medium-sized enterprises adapting to new technologies.</w:t>
      </w:r>
    </w:p>
    <w:p w14:paraId="3BD18BD3" w14:textId="77777777" w:rsidR="00BE0E57" w:rsidRDefault="00000000">
      <w:pPr>
        <w:spacing w:before="240" w:after="240" w:line="276" w:lineRule="auto"/>
        <w:jc w:val="both"/>
        <w:rPr>
          <w:b/>
          <w:sz w:val="24"/>
          <w:szCs w:val="24"/>
        </w:rPr>
      </w:pPr>
      <w:r>
        <w:rPr>
          <w:b/>
          <w:sz w:val="24"/>
          <w:szCs w:val="24"/>
        </w:rPr>
        <w:t>Remarks on the connection between the energy sector and the mobility and transportation sector</w:t>
      </w:r>
    </w:p>
    <w:p w14:paraId="70EDE834" w14:textId="77777777" w:rsidR="00BE0E57" w:rsidRDefault="00000000">
      <w:pPr>
        <w:jc w:val="both"/>
        <w:rPr>
          <w:sz w:val="24"/>
          <w:szCs w:val="24"/>
        </w:rPr>
      </w:pPr>
      <w:r>
        <w:rPr>
          <w:sz w:val="24"/>
          <w:szCs w:val="24"/>
        </w:rPr>
        <w:lastRenderedPageBreak/>
        <w:t xml:space="preserve">The energy and the transportation sectors have a lot in common. </w:t>
      </w:r>
      <w:proofErr w:type="gramStart"/>
      <w:r>
        <w:rPr>
          <w:sz w:val="24"/>
          <w:szCs w:val="24"/>
        </w:rPr>
        <w:t>Needless to say, transportation</w:t>
      </w:r>
      <w:proofErr w:type="gramEnd"/>
      <w:r>
        <w:rPr>
          <w:sz w:val="24"/>
          <w:szCs w:val="24"/>
        </w:rPr>
        <w:t xml:space="preserve"> requires a lot of energy, while energy often needs to be transported to where it will be used. An area of research that unites both sectors while aiming to find solutions to the challenges of the twin transition involves the development, demonstration and scale-up of the bi-</w:t>
      </w:r>
      <w:proofErr w:type="spellStart"/>
      <w:r>
        <w:rPr>
          <w:sz w:val="24"/>
          <w:szCs w:val="24"/>
        </w:rPr>
        <w:t>diderectional</w:t>
      </w:r>
      <w:proofErr w:type="spellEnd"/>
      <w:r>
        <w:rPr>
          <w:sz w:val="24"/>
          <w:szCs w:val="24"/>
        </w:rPr>
        <w:t xml:space="preserve"> EV charging technology. There are </w:t>
      </w:r>
      <w:proofErr w:type="gramStart"/>
      <w:r>
        <w:rPr>
          <w:sz w:val="24"/>
          <w:szCs w:val="24"/>
        </w:rPr>
        <w:t>actually two</w:t>
      </w:r>
      <w:proofErr w:type="gramEnd"/>
      <w:r>
        <w:rPr>
          <w:sz w:val="24"/>
          <w:szCs w:val="24"/>
        </w:rPr>
        <w:t xml:space="preserve"> EU funded research projects active in Hungary that deal with this promising field of research and innovation. The SCALE and the Drive2X projects both develop physical infrastructure and software solutions that increase the flexibility and resilience of the EU electricity market, improve the use of renewable energy, enhance energy efficiency and through these goals improves the social resilience of European countries.</w:t>
      </w:r>
    </w:p>
    <w:p w14:paraId="71F208D3" w14:textId="77777777" w:rsidR="00BE0E57" w:rsidRDefault="00000000">
      <w:pPr>
        <w:jc w:val="both"/>
        <w:rPr>
          <w:sz w:val="24"/>
          <w:szCs w:val="24"/>
        </w:rPr>
      </w:pPr>
      <w:r>
        <w:rPr>
          <w:sz w:val="24"/>
          <w:szCs w:val="24"/>
        </w:rPr>
        <w:t xml:space="preserve">The key </w:t>
      </w:r>
      <w:proofErr w:type="gramStart"/>
      <w:r>
        <w:rPr>
          <w:sz w:val="24"/>
          <w:szCs w:val="24"/>
        </w:rPr>
        <w:t>of</w:t>
      </w:r>
      <w:proofErr w:type="gramEnd"/>
      <w:r>
        <w:rPr>
          <w:sz w:val="24"/>
          <w:szCs w:val="24"/>
        </w:rPr>
        <w:t xml:space="preserve"> the bi-directional changing technology is that EVs would be able to discharge their batteries towards households or directly to the grid. Therefore, an EV can effectively be used as a mobile battery pack. For example, if citizens have the possibility to charge their EVs during the day using solar energy, they could discharge part of the load to their household during peak hours thus increasing the share of renewable energy use, save money by avoiding grid use during peak hours, decrease grid congestion through </w:t>
      </w:r>
      <w:proofErr w:type="spellStart"/>
      <w:r>
        <w:rPr>
          <w:sz w:val="24"/>
          <w:szCs w:val="24"/>
        </w:rPr>
        <w:t>peakshaving</w:t>
      </w:r>
      <w:proofErr w:type="spellEnd"/>
      <w:r>
        <w:rPr>
          <w:sz w:val="24"/>
          <w:szCs w:val="24"/>
        </w:rPr>
        <w:t xml:space="preserve"> of demand and price, and overall create benefits for citizens, providers and the environment alike. Therefore, bi-directional charging seems to be a promising innovative method to enhance social resilience during the twin transition period. This is crucial, since the twin transition creates burdens and challenges for various social groups. In this context, it is essential that solutions like bi-directional charging would work to ease the transition for citizens. For example, energy prices have been quite volatile lately in the EU. If bi-directional charging is </w:t>
      </w:r>
      <w:proofErr w:type="gramStart"/>
      <w:r>
        <w:rPr>
          <w:sz w:val="24"/>
          <w:szCs w:val="24"/>
        </w:rPr>
        <w:t>actually able</w:t>
      </w:r>
      <w:proofErr w:type="gramEnd"/>
      <w:r>
        <w:rPr>
          <w:sz w:val="24"/>
          <w:szCs w:val="24"/>
        </w:rPr>
        <w:t xml:space="preserve"> to meaningfully reduce peak electricity prices, it would greatly improve social resilience among volatile conditions.</w:t>
      </w:r>
    </w:p>
    <w:p w14:paraId="6D498341" w14:textId="77777777" w:rsidR="00BE0E57" w:rsidRDefault="00000000">
      <w:pPr>
        <w:jc w:val="both"/>
        <w:rPr>
          <w:sz w:val="24"/>
          <w:szCs w:val="24"/>
        </w:rPr>
      </w:pPr>
      <w:r>
        <w:rPr>
          <w:sz w:val="24"/>
          <w:szCs w:val="24"/>
        </w:rPr>
        <w:t xml:space="preserve">This cross-sectoral area of research and innovation falls in line with the goals of the EU’s Energy Union Strategy on key goals such as achieving climate neutrality, increasing the share of renewable energy, enhancing energy efficiency, strengthening energy security and integrating into the European energy market. While transport strategies aim to increase the share of public transport, cycling, and walking in the overall transportation mix, private car use will likely remain a significant part of Hungary’s transport system. Thus, using EVs </w:t>
      </w:r>
      <w:proofErr w:type="gramStart"/>
      <w:r>
        <w:rPr>
          <w:sz w:val="24"/>
          <w:szCs w:val="24"/>
        </w:rPr>
        <w:t>as a means to</w:t>
      </w:r>
      <w:proofErr w:type="gramEnd"/>
      <w:r>
        <w:rPr>
          <w:sz w:val="24"/>
          <w:szCs w:val="24"/>
        </w:rPr>
        <w:t xml:space="preserve"> improve sustainability and resilience of the transportation and energy sectors seems an efficient direction.</w:t>
      </w:r>
    </w:p>
    <w:p w14:paraId="383D5784" w14:textId="77777777" w:rsidR="00BE0E57" w:rsidRDefault="00000000">
      <w:pPr>
        <w:jc w:val="both"/>
        <w:rPr>
          <w:sz w:val="24"/>
          <w:szCs w:val="24"/>
        </w:rPr>
      </w:pPr>
      <w:r>
        <w:rPr>
          <w:sz w:val="24"/>
          <w:szCs w:val="24"/>
        </w:rPr>
        <w:t xml:space="preserve">Furthermore, the Jedlik Ányos Plan 2.0 outlines that Hungary aims for 30,000 electric vehicles on the road by 2025 and increasing substantially thereafter. The government offers financial incentives, such as purchase subsidies of up to HUF 1.5 million (approximately €4,200) for electric vehicles, and tax exemptions to encourage EV adoption. In the face of these ambitions and incentives, it becomes clear that the research and innovation efforts targeted at developing bi-directional charging capabilities are well-aligned with Hungary’s efforts. In fact, due to the sharp rise of electromobility, </w:t>
      </w:r>
      <w:proofErr w:type="gramStart"/>
      <w:r>
        <w:rPr>
          <w:sz w:val="24"/>
          <w:szCs w:val="24"/>
        </w:rPr>
        <w:t>in order to</w:t>
      </w:r>
      <w:proofErr w:type="gramEnd"/>
      <w:r>
        <w:rPr>
          <w:sz w:val="24"/>
          <w:szCs w:val="24"/>
        </w:rPr>
        <w:t xml:space="preserve"> avoid disruptions in the electricity market, the use of EVs as flexibility service providers will be crucial to allow for the large-scale expansion of electric transport solutions.</w:t>
      </w:r>
    </w:p>
    <w:p w14:paraId="24532305" w14:textId="77777777" w:rsidR="00BE0E57" w:rsidRDefault="00BE0E57">
      <w:pPr>
        <w:pBdr>
          <w:top w:val="nil"/>
          <w:left w:val="nil"/>
          <w:bottom w:val="nil"/>
          <w:right w:val="nil"/>
          <w:between w:val="nil"/>
        </w:pBdr>
        <w:spacing w:after="0"/>
        <w:ind w:left="720"/>
        <w:rPr>
          <w:i/>
          <w:color w:val="000000"/>
          <w:sz w:val="24"/>
          <w:szCs w:val="24"/>
        </w:rPr>
      </w:pPr>
    </w:p>
    <w:p w14:paraId="247335E8" w14:textId="77777777" w:rsidR="00BE0E57" w:rsidRDefault="00000000">
      <w:pPr>
        <w:pBdr>
          <w:top w:val="nil"/>
          <w:left w:val="nil"/>
          <w:bottom w:val="nil"/>
          <w:right w:val="nil"/>
          <w:between w:val="nil"/>
        </w:pBdr>
        <w:spacing w:after="0"/>
        <w:ind w:left="720"/>
        <w:rPr>
          <w:b/>
          <w:sz w:val="24"/>
          <w:szCs w:val="24"/>
        </w:rPr>
      </w:pPr>
      <w:r>
        <w:br w:type="page"/>
      </w:r>
    </w:p>
    <w:p w14:paraId="72E7DCDF" w14:textId="77777777" w:rsidR="00BE0E57" w:rsidRDefault="00000000">
      <w:pPr>
        <w:pStyle w:val="Heading2"/>
        <w:numPr>
          <w:ilvl w:val="0"/>
          <w:numId w:val="10"/>
        </w:numPr>
        <w:spacing w:after="0"/>
      </w:pPr>
      <w:bookmarkStart w:id="10" w:name="_heading=h.e2gfkeinto5s" w:colFirst="0" w:colLast="0"/>
      <w:bookmarkEnd w:id="10"/>
      <w:r>
        <w:lastRenderedPageBreak/>
        <w:t xml:space="preserve">Supporting documents: National Action Plans </w:t>
      </w:r>
    </w:p>
    <w:p w14:paraId="44113DD0" w14:textId="77777777" w:rsidR="00BE0E57" w:rsidRDefault="00BE0E57">
      <w:pPr>
        <w:pBdr>
          <w:top w:val="nil"/>
          <w:left w:val="nil"/>
          <w:bottom w:val="nil"/>
          <w:right w:val="nil"/>
          <w:between w:val="nil"/>
        </w:pBdr>
        <w:spacing w:after="0"/>
        <w:ind w:left="720"/>
        <w:rPr>
          <w:color w:val="000000"/>
          <w:sz w:val="24"/>
          <w:szCs w:val="24"/>
        </w:rPr>
      </w:pPr>
    </w:p>
    <w:p w14:paraId="647D367E" w14:textId="77777777" w:rsidR="00BE0E57" w:rsidRDefault="00000000">
      <w:pPr>
        <w:spacing w:after="200"/>
        <w:jc w:val="both"/>
        <w:rPr>
          <w:b/>
          <w:sz w:val="24"/>
          <w:szCs w:val="24"/>
        </w:rPr>
      </w:pPr>
      <w:r>
        <w:rPr>
          <w:b/>
          <w:sz w:val="24"/>
          <w:szCs w:val="24"/>
          <w:u w:val="single"/>
        </w:rPr>
        <w:t>National Action Plan for Electric Mobility (Jedlik Ányos Plan 2.0)</w:t>
      </w:r>
      <w:r>
        <w:rPr>
          <w:b/>
          <w:sz w:val="24"/>
          <w:szCs w:val="24"/>
          <w:vertAlign w:val="superscript"/>
        </w:rPr>
        <w:footnoteReference w:id="73"/>
      </w:r>
    </w:p>
    <w:p w14:paraId="32A06920" w14:textId="77777777" w:rsidR="00BE0E57" w:rsidRDefault="00000000">
      <w:pPr>
        <w:spacing w:after="200"/>
        <w:jc w:val="both"/>
        <w:rPr>
          <w:i/>
          <w:sz w:val="24"/>
          <w:szCs w:val="24"/>
        </w:rPr>
      </w:pPr>
      <w:r>
        <w:rPr>
          <w:sz w:val="24"/>
          <w:szCs w:val="24"/>
        </w:rPr>
        <w:t>Hungary’s electric mobility plan outlines specific goals to increase electric vehicle adoption and the necessary supporting infrastructure.</w:t>
      </w:r>
      <w:r>
        <w:rPr>
          <w:sz w:val="24"/>
          <w:szCs w:val="24"/>
          <w:vertAlign w:val="superscript"/>
        </w:rPr>
        <w:footnoteReference w:id="74"/>
      </w:r>
      <w:r>
        <w:rPr>
          <w:sz w:val="24"/>
          <w:szCs w:val="24"/>
        </w:rPr>
        <w:t xml:space="preserve"> By 2030, Hungary aims for EVs to make up at least 50% of new car sales, with significant strides toward full electrification of public transport and a vast network of EV charging stations across the country. </w:t>
      </w:r>
      <w:r>
        <w:rPr>
          <w:i/>
          <w:sz w:val="24"/>
          <w:szCs w:val="24"/>
        </w:rPr>
        <w:t>Meaning: plan aims to have 30,000 electric vehicles on Hungarian roads by 2025, and the strategy envisions 450,000 EVs in operation by 2030, supported by 45,000 charging stations nationwide.</w:t>
      </w:r>
    </w:p>
    <w:p w14:paraId="4EEDB2F0" w14:textId="77777777" w:rsidR="00BE0E57" w:rsidRDefault="00000000">
      <w:pPr>
        <w:spacing w:after="200"/>
        <w:jc w:val="both"/>
        <w:rPr>
          <w:b/>
          <w:sz w:val="24"/>
          <w:szCs w:val="24"/>
        </w:rPr>
      </w:pPr>
      <w:r>
        <w:rPr>
          <w:sz w:val="24"/>
          <w:szCs w:val="24"/>
        </w:rPr>
        <w:t xml:space="preserve">The plan includes subsidies for EV purchases, tax incentives, and low-interest financing options to make EV ownership more accessible to consumers. The government has committed to expanding the EV charging network, especially in urban areas, main highways, and public transportation hubs, to ensure convenience and </w:t>
      </w:r>
      <w:r>
        <w:rPr>
          <w:b/>
          <w:sz w:val="24"/>
          <w:szCs w:val="24"/>
        </w:rPr>
        <w:t>address "range anxiety" issues</w:t>
      </w:r>
      <w:r>
        <w:rPr>
          <w:sz w:val="24"/>
          <w:szCs w:val="24"/>
        </w:rPr>
        <w:t xml:space="preserve"> for EV users. This expansion is set to grow incrementally, </w:t>
      </w:r>
      <w:r>
        <w:rPr>
          <w:b/>
          <w:sz w:val="24"/>
          <w:szCs w:val="24"/>
        </w:rPr>
        <w:t>with a goal of covering 80% of the country by 2030 and full coverage by 2035.</w:t>
      </w:r>
      <w:r>
        <w:rPr>
          <w:b/>
          <w:sz w:val="24"/>
          <w:szCs w:val="24"/>
          <w:vertAlign w:val="superscript"/>
        </w:rPr>
        <w:footnoteReference w:id="75"/>
      </w:r>
    </w:p>
    <w:p w14:paraId="0FF67184" w14:textId="77777777" w:rsidR="00BE0E57" w:rsidRDefault="00000000">
      <w:pPr>
        <w:spacing w:after="200"/>
        <w:jc w:val="both"/>
        <w:rPr>
          <w:sz w:val="24"/>
          <w:szCs w:val="24"/>
        </w:rPr>
      </w:pPr>
      <w:r>
        <w:rPr>
          <w:sz w:val="24"/>
          <w:szCs w:val="24"/>
        </w:rPr>
        <w:t xml:space="preserve">For producers, the plan </w:t>
      </w:r>
      <w:r>
        <w:rPr>
          <w:b/>
          <w:sz w:val="24"/>
          <w:szCs w:val="24"/>
        </w:rPr>
        <w:t>encourages investment in EV manufacturing and the development of related supply chains within Hungary</w:t>
      </w:r>
      <w:r>
        <w:rPr>
          <w:b/>
          <w:sz w:val="24"/>
          <w:szCs w:val="24"/>
          <w:vertAlign w:val="superscript"/>
        </w:rPr>
        <w:footnoteReference w:id="76"/>
      </w:r>
      <w:r>
        <w:rPr>
          <w:b/>
          <w:sz w:val="24"/>
          <w:szCs w:val="24"/>
        </w:rPr>
        <w:t>, creating job opportunities in battery production, maintenance, and charging infrastructure installation.</w:t>
      </w:r>
      <w:r>
        <w:rPr>
          <w:sz w:val="24"/>
          <w:szCs w:val="24"/>
        </w:rPr>
        <w:t xml:space="preserve"> The action plan also includes retraining programs for workers transitioning from traditional automotive roles to electric-focused ones, helping ensure that economic benefits are widely shared. Partnerships with local and international companies are encouraged to foster technology transfer and build a skilled workforce in electric mobility technologies.</w:t>
      </w:r>
    </w:p>
    <w:p w14:paraId="7C6D7DA3" w14:textId="77777777" w:rsidR="00BE0E57" w:rsidRDefault="00000000">
      <w:pPr>
        <w:spacing w:after="200"/>
        <w:jc w:val="both"/>
        <w:rPr>
          <w:sz w:val="24"/>
          <w:szCs w:val="24"/>
        </w:rPr>
      </w:pPr>
      <w:r>
        <w:rPr>
          <w:sz w:val="24"/>
          <w:szCs w:val="24"/>
        </w:rPr>
        <w:t>The long-term objective of this plan</w:t>
      </w:r>
      <w:r>
        <w:rPr>
          <w:sz w:val="24"/>
          <w:szCs w:val="24"/>
          <w:vertAlign w:val="superscript"/>
        </w:rPr>
        <w:footnoteReference w:id="77"/>
      </w:r>
      <w:r>
        <w:rPr>
          <w:sz w:val="24"/>
          <w:szCs w:val="24"/>
        </w:rPr>
        <w:t xml:space="preserve"> is to make EVs a viable option for a wide range of consumers, including those in low-income and rural areas, supporting a fair transition for all.</w:t>
      </w:r>
    </w:p>
    <w:p w14:paraId="0F79C842" w14:textId="77777777" w:rsidR="00BE0E57" w:rsidRDefault="00000000">
      <w:pPr>
        <w:spacing w:before="240" w:after="240" w:line="276" w:lineRule="auto"/>
        <w:jc w:val="both"/>
        <w:rPr>
          <w:sz w:val="24"/>
          <w:szCs w:val="24"/>
          <w:u w:val="single"/>
        </w:rPr>
      </w:pPr>
      <w:r>
        <w:rPr>
          <w:b/>
          <w:sz w:val="24"/>
          <w:szCs w:val="24"/>
          <w:u w:val="single"/>
        </w:rPr>
        <w:t>Public Transport Action Plan (2024)</w:t>
      </w:r>
      <w:r>
        <w:rPr>
          <w:b/>
          <w:sz w:val="24"/>
          <w:szCs w:val="24"/>
          <w:u w:val="single"/>
          <w:vertAlign w:val="superscript"/>
        </w:rPr>
        <w:footnoteReference w:id="78"/>
      </w:r>
    </w:p>
    <w:p w14:paraId="4E045123" w14:textId="77777777" w:rsidR="00BE0E57" w:rsidRDefault="00000000">
      <w:pPr>
        <w:spacing w:before="240" w:after="240" w:line="276" w:lineRule="auto"/>
        <w:jc w:val="both"/>
        <w:rPr>
          <w:sz w:val="24"/>
          <w:szCs w:val="24"/>
        </w:rPr>
      </w:pPr>
      <w:r>
        <w:rPr>
          <w:sz w:val="24"/>
          <w:szCs w:val="24"/>
        </w:rPr>
        <w:t>This was introduced in August 2024</w:t>
      </w:r>
      <w:r>
        <w:rPr>
          <w:sz w:val="24"/>
          <w:szCs w:val="24"/>
          <w:vertAlign w:val="superscript"/>
        </w:rPr>
        <w:footnoteReference w:id="79"/>
      </w:r>
      <w:r>
        <w:rPr>
          <w:sz w:val="24"/>
          <w:szCs w:val="24"/>
        </w:rPr>
        <w:t xml:space="preserve">, with a clear focus on modernising and enhancing the quality of public transportation services across the country. This plan aligns with Hungary’s broader goals for sustainable urban mobility and improved passenger experience. The Hungarian government is set to begin these </w:t>
      </w:r>
      <w:r>
        <w:rPr>
          <w:b/>
          <w:sz w:val="24"/>
          <w:szCs w:val="24"/>
        </w:rPr>
        <w:t>improvements in 2025, targeting the renewal of half of the nation’s 6,500 kilometres of railway track</w:t>
      </w:r>
      <w:r>
        <w:rPr>
          <w:sz w:val="24"/>
          <w:szCs w:val="24"/>
        </w:rPr>
        <w:t xml:space="preserve">. </w:t>
      </w:r>
      <w:r>
        <w:rPr>
          <w:b/>
          <w:sz w:val="24"/>
          <w:szCs w:val="24"/>
        </w:rPr>
        <w:t xml:space="preserve">This is particularly significant as about 50% of Hungary’s rail network currently faces speed limitations due to ageing infrastructure. </w:t>
      </w:r>
      <w:r>
        <w:rPr>
          <w:sz w:val="24"/>
          <w:szCs w:val="24"/>
        </w:rPr>
        <w:t xml:space="preserve">By addressing these issues, the </w:t>
      </w:r>
      <w:r>
        <w:rPr>
          <w:sz w:val="24"/>
          <w:szCs w:val="24"/>
        </w:rPr>
        <w:lastRenderedPageBreak/>
        <w:t>government hopes to increase the attractiveness of rail travel, reduce road congestion, and contribute to a greener transport sector.</w:t>
      </w:r>
    </w:p>
    <w:p w14:paraId="16A9784B" w14:textId="77777777" w:rsidR="00BE0E57" w:rsidRDefault="00BE0E57">
      <w:pPr>
        <w:spacing w:before="240" w:after="240" w:line="276" w:lineRule="auto"/>
        <w:jc w:val="both"/>
        <w:rPr>
          <w:sz w:val="24"/>
          <w:szCs w:val="24"/>
        </w:rPr>
      </w:pPr>
    </w:p>
    <w:p w14:paraId="7E78A125" w14:textId="77777777" w:rsidR="00BE0E57" w:rsidRDefault="00000000">
      <w:pPr>
        <w:spacing w:before="240" w:after="240" w:line="276" w:lineRule="auto"/>
        <w:jc w:val="both"/>
        <w:rPr>
          <w:sz w:val="24"/>
          <w:szCs w:val="24"/>
        </w:rPr>
      </w:pPr>
      <w:r>
        <w:rPr>
          <w:sz w:val="24"/>
          <w:szCs w:val="24"/>
        </w:rPr>
        <w:t>The plan emphasises establishing a framework to safeguard the rights of passengers, ensuring reliability, punctuality, and transparency in public transportation services. By formalising passenger rights, the government aims to improve public confidence in the national transportation system.</w:t>
      </w:r>
    </w:p>
    <w:p w14:paraId="74CB08B7" w14:textId="77777777" w:rsidR="00BE0E57" w:rsidRDefault="00000000">
      <w:pPr>
        <w:spacing w:before="240" w:after="240" w:line="276" w:lineRule="auto"/>
        <w:jc w:val="both"/>
        <w:rPr>
          <w:sz w:val="24"/>
          <w:szCs w:val="24"/>
        </w:rPr>
      </w:pPr>
      <w:r>
        <w:rPr>
          <w:b/>
          <w:sz w:val="24"/>
          <w:szCs w:val="24"/>
        </w:rPr>
        <w:t>One of the most significant goals of this action plan is the extensive upgrade of Hungary’s railway infrastructure.</w:t>
      </w:r>
      <w:r>
        <w:rPr>
          <w:sz w:val="24"/>
          <w:szCs w:val="24"/>
        </w:rPr>
        <w:t xml:space="preserve"> Over</w:t>
      </w:r>
      <w:r>
        <w:rPr>
          <w:b/>
          <w:sz w:val="24"/>
          <w:szCs w:val="24"/>
        </w:rPr>
        <w:t xml:space="preserve"> 2 billion</w:t>
      </w:r>
      <w:r>
        <w:rPr>
          <w:sz w:val="24"/>
          <w:szCs w:val="24"/>
        </w:rPr>
        <w:t xml:space="preserve"> </w:t>
      </w:r>
      <w:r>
        <w:rPr>
          <w:b/>
          <w:sz w:val="24"/>
          <w:szCs w:val="24"/>
        </w:rPr>
        <w:t xml:space="preserve">euro </w:t>
      </w:r>
      <w:r>
        <w:rPr>
          <w:sz w:val="24"/>
          <w:szCs w:val="24"/>
        </w:rPr>
        <w:t xml:space="preserve">is earmarked for renewing rail tracks, enhancing both passenger and freight rail services. To improve the quality and comfort of the rail experience, they will acquire new trains and carriages. New rolling stock is expected to replace ageing trains currently in operation, providing faster, safer, and more comfortable travel for passengers. Modern trains are also expected to be more energy-efficient, aligning with climate objectives. Beyond upgrading infrastructure and vehicles, the plan focuses on passenger amenities. Efforts include refurbishing stations, improving accessibility, and integrating digital solutions like mobile ticketing and real-time updates. </w:t>
      </w:r>
    </w:p>
    <w:p w14:paraId="2C1A537C" w14:textId="77777777" w:rsidR="00BE0E57" w:rsidRDefault="00000000">
      <w:pPr>
        <w:spacing w:before="240" w:after="240" w:line="276" w:lineRule="auto"/>
        <w:jc w:val="both"/>
        <w:rPr>
          <w:sz w:val="24"/>
          <w:szCs w:val="24"/>
        </w:rPr>
      </w:pPr>
      <w:r>
        <w:rPr>
          <w:sz w:val="24"/>
          <w:szCs w:val="24"/>
        </w:rPr>
        <w:t xml:space="preserve">Hungary’s state-owned railway company, </w:t>
      </w:r>
      <w:r>
        <w:rPr>
          <w:b/>
          <w:sz w:val="24"/>
          <w:szCs w:val="24"/>
        </w:rPr>
        <w:t>MÁV</w:t>
      </w:r>
      <w:r>
        <w:rPr>
          <w:sz w:val="24"/>
          <w:szCs w:val="24"/>
        </w:rPr>
        <w:t xml:space="preserve">, is slated for restructuring under the new plan. Meaning the streamlining of operations, increasing the efficiency, and better allocating resources across the company. </w:t>
      </w:r>
      <w:r>
        <w:rPr>
          <w:b/>
          <w:sz w:val="24"/>
          <w:szCs w:val="24"/>
        </w:rPr>
        <w:t>This process will end in a new entity</w:t>
      </w:r>
      <w:r>
        <w:rPr>
          <w:sz w:val="24"/>
          <w:szCs w:val="24"/>
        </w:rPr>
        <w:t xml:space="preserve"> that is more responsive to the needs of passengers and aligned with modern management practices.</w:t>
      </w:r>
    </w:p>
    <w:p w14:paraId="09019165" w14:textId="77777777" w:rsidR="00BE0E57" w:rsidRDefault="00000000">
      <w:pPr>
        <w:spacing w:before="240" w:after="240" w:line="276" w:lineRule="auto"/>
        <w:jc w:val="both"/>
        <w:rPr>
          <w:b/>
          <w:sz w:val="24"/>
          <w:szCs w:val="24"/>
          <w:u w:val="single"/>
        </w:rPr>
      </w:pPr>
      <w:r>
        <w:rPr>
          <w:b/>
          <w:sz w:val="24"/>
          <w:szCs w:val="24"/>
          <w:u w:val="single"/>
        </w:rPr>
        <w:t>Action Plan for Improving the Energy Efficiency of Transport (2013-2020)</w:t>
      </w:r>
    </w:p>
    <w:p w14:paraId="1C337EE6" w14:textId="77777777" w:rsidR="00BE0E57" w:rsidRDefault="00000000">
      <w:pPr>
        <w:spacing w:before="240" w:after="240" w:line="276" w:lineRule="auto"/>
        <w:jc w:val="both"/>
        <w:rPr>
          <w:sz w:val="24"/>
          <w:szCs w:val="24"/>
        </w:rPr>
      </w:pPr>
      <w:r>
        <w:rPr>
          <w:sz w:val="24"/>
          <w:szCs w:val="24"/>
        </w:rPr>
        <w:t xml:space="preserve">It was developed as part of the country’s effort to reduce greenhouse gas emissions and promote a more sustainable transport sector. The plan sought to increase the fuel efficiency of vehicles on the Hungarian roads, which would reduce overall fuel consumption and emissions - including both private and public vehicles, </w:t>
      </w:r>
      <w:r>
        <w:rPr>
          <w:i/>
          <w:sz w:val="24"/>
          <w:szCs w:val="24"/>
        </w:rPr>
        <w:t>with particular attention to the ageing vehicle fleet</w:t>
      </w:r>
      <w:r>
        <w:rPr>
          <w:sz w:val="24"/>
          <w:szCs w:val="24"/>
        </w:rPr>
        <w:t xml:space="preserve"> that had higher emissions compared to newer models.</w:t>
      </w:r>
    </w:p>
    <w:p w14:paraId="7E9801A9" w14:textId="77777777" w:rsidR="00BE0E57" w:rsidRDefault="00000000">
      <w:pPr>
        <w:spacing w:before="240" w:after="240" w:line="276" w:lineRule="auto"/>
        <w:jc w:val="both"/>
        <w:rPr>
          <w:sz w:val="24"/>
          <w:szCs w:val="24"/>
        </w:rPr>
      </w:pPr>
      <w:r>
        <w:rPr>
          <w:sz w:val="24"/>
          <w:szCs w:val="24"/>
        </w:rPr>
        <w:t>During this plan period, biofuels were considered an immediate solution to reduce carbon emissions in the short term. The plan encouraged the use of biofuels as a cleaner alternative to traditional fossil fuels, with the goal to increase the production and consumption of biodiesel and bioethanol, as part of the EU's Renewable Energy Directive targets. To drive longer-term sustainability, the plan promoted the adoption of electric and hybrid vehicles.</w:t>
      </w:r>
    </w:p>
    <w:p w14:paraId="2884B4DF" w14:textId="77777777" w:rsidR="00BE0E57" w:rsidRDefault="00000000">
      <w:pPr>
        <w:spacing w:before="240" w:after="240" w:line="276" w:lineRule="auto"/>
        <w:jc w:val="both"/>
        <w:rPr>
          <w:sz w:val="24"/>
          <w:szCs w:val="24"/>
        </w:rPr>
      </w:pPr>
      <w:r>
        <w:rPr>
          <w:sz w:val="24"/>
          <w:szCs w:val="24"/>
        </w:rPr>
        <w:t>Eco-driving programs were also organised to educate drivers on fuel-saving practices, such as smooth acceleration, maintaining steady speeds, and reducing unnecessary idling. Awareness campaigns aimed to inform the public about the environmental benefits of energy-efficient transport and encourage more sustainable choices.</w:t>
      </w:r>
    </w:p>
    <w:p w14:paraId="061B87E3" w14:textId="77777777" w:rsidR="00BE0E57" w:rsidRDefault="00000000">
      <w:pPr>
        <w:spacing w:before="240" w:after="240" w:line="276" w:lineRule="auto"/>
        <w:jc w:val="both"/>
        <w:rPr>
          <w:sz w:val="24"/>
          <w:szCs w:val="24"/>
        </w:rPr>
      </w:pPr>
      <w:r>
        <w:rPr>
          <w:sz w:val="24"/>
          <w:szCs w:val="24"/>
        </w:rPr>
        <w:lastRenderedPageBreak/>
        <w:t xml:space="preserve">The Hungarian government implemented a combination of regulatory measures, incentives, and educational programs to drive these objectives forward. Subsidies and tax breaks were offered to consumers and businesses investing in energy-efficient or alternative-fuel vehicles, aiming to offset the initial costs associated with transitioning to cleaner vehicles. There were also investments made in the infrastructure to support the use of biofuels and electric vehicles. For example, new EV charging stations were installed in high-traffic areas to encourage EV usage, and existing </w:t>
      </w:r>
      <w:proofErr w:type="spellStart"/>
      <w:r>
        <w:rPr>
          <w:sz w:val="24"/>
          <w:szCs w:val="24"/>
        </w:rPr>
        <w:t>fueling</w:t>
      </w:r>
      <w:proofErr w:type="spellEnd"/>
      <w:r>
        <w:rPr>
          <w:sz w:val="24"/>
          <w:szCs w:val="24"/>
        </w:rPr>
        <w:t xml:space="preserve"> stations were adapted to accommodate biofuels.</w:t>
      </w:r>
    </w:p>
    <w:p w14:paraId="6938BDC5" w14:textId="77777777" w:rsidR="00BE0E57" w:rsidRDefault="00000000">
      <w:pPr>
        <w:spacing w:before="240" w:after="240" w:line="276" w:lineRule="auto"/>
        <w:jc w:val="both"/>
        <w:rPr>
          <w:sz w:val="24"/>
          <w:szCs w:val="24"/>
        </w:rPr>
      </w:pPr>
      <w:r>
        <w:rPr>
          <w:sz w:val="24"/>
          <w:szCs w:val="24"/>
        </w:rPr>
        <w:t xml:space="preserve">Despite efforts to improve efficiency, </w:t>
      </w:r>
      <w:r>
        <w:rPr>
          <w:i/>
          <w:sz w:val="24"/>
          <w:szCs w:val="24"/>
        </w:rPr>
        <w:t>the number of vehicles on Hungarian roads continued to grow, which partially offset emission reduction efforts</w:t>
      </w:r>
      <w:r>
        <w:rPr>
          <w:sz w:val="24"/>
          <w:szCs w:val="24"/>
        </w:rPr>
        <w:t xml:space="preserve">. The increase in traffic also led to greater fuel consumption, which was a challenge for the plan's overall goals. While incentives were provided, the adoption rate of </w:t>
      </w:r>
      <w:r>
        <w:rPr>
          <w:b/>
          <w:sz w:val="24"/>
          <w:szCs w:val="24"/>
        </w:rPr>
        <w:t>electric vehicles remained lower</w:t>
      </w:r>
      <w:r>
        <w:rPr>
          <w:sz w:val="24"/>
          <w:szCs w:val="24"/>
        </w:rPr>
        <w:t xml:space="preserve"> than expected due to high initial costs and </w:t>
      </w:r>
      <w:r>
        <w:rPr>
          <w:b/>
          <w:sz w:val="24"/>
          <w:szCs w:val="24"/>
        </w:rPr>
        <w:t>limited charging infrastructure outside major cities</w:t>
      </w:r>
      <w:r>
        <w:rPr>
          <w:sz w:val="24"/>
          <w:szCs w:val="24"/>
        </w:rPr>
        <w:t xml:space="preserve">. Although biofuel proved to be a dead end - </w:t>
      </w:r>
      <w:proofErr w:type="gramStart"/>
      <w:r>
        <w:rPr>
          <w:sz w:val="24"/>
          <w:szCs w:val="24"/>
        </w:rPr>
        <w:t>at the moment</w:t>
      </w:r>
      <w:proofErr w:type="gramEnd"/>
      <w:r>
        <w:rPr>
          <w:sz w:val="24"/>
          <w:szCs w:val="24"/>
        </w:rPr>
        <w:t xml:space="preserve"> - due to logistical challenges and higher production costs, which made it less competitive compared to conventional fuels.</w:t>
      </w:r>
    </w:p>
    <w:p w14:paraId="40D51225" w14:textId="77777777" w:rsidR="00BE0E57" w:rsidRDefault="00000000">
      <w:pPr>
        <w:spacing w:before="240" w:after="240" w:line="276" w:lineRule="auto"/>
        <w:jc w:val="both"/>
        <w:rPr>
          <w:sz w:val="24"/>
          <w:szCs w:val="24"/>
        </w:rPr>
      </w:pPr>
      <w:r>
        <w:rPr>
          <w:sz w:val="24"/>
          <w:szCs w:val="24"/>
        </w:rPr>
        <w:t>The action plan had some success in improving the energy efficiency of Hungary’s transport sector; but mainly it highlighted the need for additional, comprehensive measures.</w:t>
      </w:r>
      <w:r>
        <w:rPr>
          <w:sz w:val="24"/>
          <w:szCs w:val="24"/>
          <w:vertAlign w:val="superscript"/>
        </w:rPr>
        <w:footnoteReference w:id="80"/>
      </w:r>
      <w:r>
        <w:rPr>
          <w:sz w:val="24"/>
          <w:szCs w:val="24"/>
        </w:rPr>
        <w:t xml:space="preserve"> To build on these efforts, the Hungarian government has been </w:t>
      </w:r>
      <w:r>
        <w:rPr>
          <w:b/>
          <w:sz w:val="24"/>
          <w:szCs w:val="24"/>
        </w:rPr>
        <w:t>incorporating lessons from the 2013-2020 action plan into its new strategies</w:t>
      </w:r>
      <w:r>
        <w:rPr>
          <w:sz w:val="24"/>
          <w:szCs w:val="24"/>
        </w:rPr>
        <w:t>, including the National Energy Strategy 2030 and plans to align with the European Green Deal’s net-zero targets by 2050.</w:t>
      </w:r>
    </w:p>
    <w:p w14:paraId="4925FEA4" w14:textId="77777777" w:rsidR="00BE0E57" w:rsidRDefault="00000000">
      <w:pPr>
        <w:spacing w:before="240" w:after="240" w:line="276" w:lineRule="auto"/>
        <w:jc w:val="both"/>
        <w:rPr>
          <w:b/>
          <w:sz w:val="24"/>
          <w:szCs w:val="24"/>
          <w:u w:val="single"/>
        </w:rPr>
      </w:pPr>
      <w:r>
        <w:rPr>
          <w:b/>
          <w:sz w:val="24"/>
          <w:szCs w:val="24"/>
          <w:u w:val="single"/>
        </w:rPr>
        <w:t>Road Safety Action Programme (2020-2022)</w:t>
      </w:r>
      <w:r>
        <w:rPr>
          <w:b/>
          <w:sz w:val="24"/>
          <w:szCs w:val="24"/>
          <w:u w:val="single"/>
          <w:vertAlign w:val="superscript"/>
        </w:rPr>
        <w:footnoteReference w:id="81"/>
      </w:r>
    </w:p>
    <w:p w14:paraId="51A6B451" w14:textId="77777777" w:rsidR="00BE0E57" w:rsidRDefault="00000000">
      <w:pPr>
        <w:spacing w:before="240" w:after="240" w:line="276" w:lineRule="auto"/>
        <w:jc w:val="both"/>
        <w:rPr>
          <w:sz w:val="24"/>
          <w:szCs w:val="24"/>
        </w:rPr>
      </w:pPr>
      <w:r>
        <w:rPr>
          <w:sz w:val="24"/>
          <w:szCs w:val="24"/>
        </w:rPr>
        <w:t xml:space="preserve">Hungary developed this programme to enhance the safety of all road users, with particular emphasis on protecting vulnerable groups such as pedestrians, cyclists, children, and the elderly. The program is set to do upgrades to road infrastructure, particularly in areas with high pedestrian and cyclist traffic. Efforts include creating safe pedestrian crossings, adding dedicated bicycle lanes, and improving lighting in urban and suburban areas. </w:t>
      </w:r>
      <w:proofErr w:type="gramStart"/>
      <w:r>
        <w:rPr>
          <w:sz w:val="24"/>
          <w:szCs w:val="24"/>
        </w:rPr>
        <w:t>By  introducing</w:t>
      </w:r>
      <w:proofErr w:type="gramEnd"/>
      <w:r>
        <w:rPr>
          <w:sz w:val="24"/>
          <w:szCs w:val="24"/>
        </w:rPr>
        <w:t xml:space="preserve"> traffic calming measures, such as speed bumps and narrowed lanes in areas with schools and pedestrian-heavy zones, they hope to reduce vehicle speeds, making roads safer for these vulnerable groups.</w:t>
      </w:r>
    </w:p>
    <w:p w14:paraId="03605FFF" w14:textId="77777777" w:rsidR="00BE0E57" w:rsidRDefault="00000000">
      <w:pPr>
        <w:spacing w:before="240" w:after="240" w:line="276" w:lineRule="auto"/>
        <w:jc w:val="both"/>
        <w:rPr>
          <w:sz w:val="24"/>
          <w:szCs w:val="24"/>
        </w:rPr>
      </w:pPr>
      <w:r>
        <w:rPr>
          <w:sz w:val="24"/>
          <w:szCs w:val="24"/>
        </w:rPr>
        <w:t>Education initiatives target both drivers and vulnerable road users. For example, campaigns encourage drivers to be more cautious around pedestrians and cyclists, especially near crosswalks and bike lanes. Programs are also extended to elderly citizens to address specific safety concerns for this age group.</w:t>
      </w:r>
    </w:p>
    <w:p w14:paraId="234F6193" w14:textId="77777777" w:rsidR="00BE0E57" w:rsidRDefault="00000000">
      <w:pPr>
        <w:spacing w:before="240" w:after="240" w:line="276" w:lineRule="auto"/>
        <w:jc w:val="both"/>
        <w:rPr>
          <w:b/>
          <w:sz w:val="24"/>
          <w:szCs w:val="24"/>
        </w:rPr>
      </w:pPr>
      <w:r>
        <w:rPr>
          <w:sz w:val="24"/>
          <w:szCs w:val="24"/>
        </w:rPr>
        <w:t xml:space="preserve">To discourage reckless driving behaviours that endanger vulnerable road users, the program emphasises stricter enforcement of speed limits, particularly in residential and school areas. </w:t>
      </w:r>
      <w:r>
        <w:rPr>
          <w:b/>
          <w:sz w:val="24"/>
          <w:szCs w:val="24"/>
        </w:rPr>
        <w:t xml:space="preserve">Police presence and traffic monitoring have been increased in high-risk zones, targeting </w:t>
      </w:r>
      <w:r>
        <w:rPr>
          <w:b/>
          <w:sz w:val="24"/>
          <w:szCs w:val="24"/>
        </w:rPr>
        <w:lastRenderedPageBreak/>
        <w:t>behaviours like speeding, failure to yield, and illegal parking that can create hazardous conditions for pedestrians and cyclists.</w:t>
      </w:r>
    </w:p>
    <w:p w14:paraId="375F1720" w14:textId="77777777" w:rsidR="00BE0E57" w:rsidRDefault="00BE0E57">
      <w:pPr>
        <w:spacing w:before="240" w:after="240" w:line="276" w:lineRule="auto"/>
        <w:jc w:val="both"/>
        <w:rPr>
          <w:sz w:val="24"/>
          <w:szCs w:val="24"/>
        </w:rPr>
      </w:pPr>
    </w:p>
    <w:p w14:paraId="5606EE7B" w14:textId="77777777" w:rsidR="00BE0E57" w:rsidRDefault="00000000">
      <w:pPr>
        <w:spacing w:before="240" w:after="240" w:line="276" w:lineRule="auto"/>
        <w:jc w:val="both"/>
        <w:rPr>
          <w:sz w:val="24"/>
          <w:szCs w:val="24"/>
        </w:rPr>
      </w:pPr>
      <w:r>
        <w:rPr>
          <w:sz w:val="24"/>
          <w:szCs w:val="24"/>
        </w:rPr>
        <w:t xml:space="preserve">As cycling becomes increasingly popular in Hungary, the program includes specific measures to improve cyclist safety. Expanding the network of bicycle lanes and bike-friendly roads, the program encourages safer cycling environments. </w:t>
      </w:r>
    </w:p>
    <w:p w14:paraId="62F7C5F0" w14:textId="77777777" w:rsidR="00BE0E57" w:rsidRDefault="00000000">
      <w:pPr>
        <w:spacing w:before="240" w:after="240" w:line="276" w:lineRule="auto"/>
        <w:jc w:val="both"/>
        <w:rPr>
          <w:b/>
          <w:sz w:val="24"/>
          <w:szCs w:val="24"/>
        </w:rPr>
      </w:pPr>
      <w:r>
        <w:rPr>
          <w:b/>
          <w:sz w:val="24"/>
          <w:szCs w:val="24"/>
          <w:u w:val="single"/>
        </w:rPr>
        <w:t>Smart and Sustainable Mobility Market Development</w:t>
      </w:r>
      <w:r>
        <w:rPr>
          <w:b/>
          <w:sz w:val="24"/>
          <w:szCs w:val="24"/>
          <w:u w:val="single"/>
          <w:vertAlign w:val="superscript"/>
        </w:rPr>
        <w:footnoteReference w:id="82"/>
      </w:r>
      <w:r>
        <w:rPr>
          <w:b/>
          <w:sz w:val="24"/>
          <w:szCs w:val="24"/>
          <w:vertAlign w:val="superscript"/>
        </w:rPr>
        <w:footnoteReference w:id="83"/>
      </w:r>
    </w:p>
    <w:p w14:paraId="56717F8C" w14:textId="77777777" w:rsidR="00BE0E57" w:rsidRDefault="00000000">
      <w:pPr>
        <w:spacing w:before="240" w:after="240" w:line="276" w:lineRule="auto"/>
        <w:jc w:val="both"/>
        <w:rPr>
          <w:color w:val="1155CC"/>
          <w:sz w:val="24"/>
          <w:szCs w:val="24"/>
          <w:u w:val="single"/>
        </w:rPr>
      </w:pPr>
      <w:r>
        <w:rPr>
          <w:sz w:val="24"/>
          <w:szCs w:val="24"/>
        </w:rPr>
        <w:t xml:space="preserve">This initiative addresses urban congestion and pollution by establishing efficient logistics systems. A central component is the development of </w:t>
      </w:r>
      <w:r>
        <w:rPr>
          <w:i/>
          <w:sz w:val="24"/>
          <w:szCs w:val="24"/>
        </w:rPr>
        <w:t xml:space="preserve">Urban Consolidation </w:t>
      </w:r>
      <w:proofErr w:type="spellStart"/>
      <w:r>
        <w:rPr>
          <w:i/>
          <w:sz w:val="24"/>
          <w:szCs w:val="24"/>
        </w:rPr>
        <w:t>Centers</w:t>
      </w:r>
      <w:proofErr w:type="spellEnd"/>
      <w:r>
        <w:rPr>
          <w:i/>
          <w:sz w:val="24"/>
          <w:szCs w:val="24"/>
        </w:rPr>
        <w:t>,</w:t>
      </w:r>
      <w:r>
        <w:rPr>
          <w:sz w:val="24"/>
          <w:szCs w:val="24"/>
        </w:rPr>
        <w:t xml:space="preserve"> which serve as centralised hubs for storing, sorting, and distributing goods. By consolidating deliveries at a central location, UCCs reduce the need for numerous delivery vehicles entering city centres, thereby decreasing traffic congestion and emissions. It also addresses the </w:t>
      </w:r>
      <w:r>
        <w:rPr>
          <w:b/>
          <w:sz w:val="24"/>
          <w:szCs w:val="24"/>
        </w:rPr>
        <w:t>repurposing of brownfield sites</w:t>
      </w:r>
      <w:r>
        <w:rPr>
          <w:b/>
          <w:sz w:val="24"/>
          <w:szCs w:val="24"/>
          <w:vertAlign w:val="superscript"/>
        </w:rPr>
        <w:footnoteReference w:id="84"/>
      </w:r>
      <w:r>
        <w:rPr>
          <w:sz w:val="24"/>
          <w:szCs w:val="24"/>
        </w:rPr>
        <w:t xml:space="preserve"> as potential locations for these </w:t>
      </w:r>
      <w:proofErr w:type="gramStart"/>
      <w:r>
        <w:rPr>
          <w:sz w:val="24"/>
          <w:szCs w:val="24"/>
        </w:rPr>
        <w:t>logistics</w:t>
      </w:r>
      <w:proofErr w:type="gramEnd"/>
      <w:r>
        <w:rPr>
          <w:sz w:val="24"/>
          <w:szCs w:val="24"/>
        </w:rPr>
        <w:t xml:space="preserve"> centres. Utilising these areas supports urban logistics without encroaching on valuable green spaces, aligning with sustainable development principles.</w:t>
      </w:r>
    </w:p>
    <w:p w14:paraId="5B370542" w14:textId="77777777" w:rsidR="00BE0E57" w:rsidRDefault="00000000">
      <w:pPr>
        <w:spacing w:before="240" w:after="240" w:line="276" w:lineRule="auto"/>
        <w:jc w:val="both"/>
        <w:rPr>
          <w:sz w:val="24"/>
          <w:szCs w:val="24"/>
        </w:rPr>
      </w:pPr>
      <w:r>
        <w:rPr>
          <w:sz w:val="24"/>
          <w:szCs w:val="24"/>
        </w:rPr>
        <w:t xml:space="preserve">In terms of efficiency, the initiative aims to </w:t>
      </w:r>
      <w:r>
        <w:rPr>
          <w:b/>
          <w:sz w:val="24"/>
          <w:szCs w:val="24"/>
        </w:rPr>
        <w:t>optimise last-mile delivery</w:t>
      </w:r>
      <w:r>
        <w:rPr>
          <w:sz w:val="24"/>
          <w:szCs w:val="24"/>
        </w:rPr>
        <w:t>. Traditionally, last-mile logistics involve multiple vehicles delivering smaller loads directly to consumers. By using UCCs, vehicles can transport full loads to the city, where smaller, eco-friendly vehicles, such as electric vans and cargo bikes, handle the final leg of delivery. This approach not only decreases the carbon footprint but also allows for more suitable delivery methods in densely populated areas.</w:t>
      </w:r>
    </w:p>
    <w:p w14:paraId="68D1A84A" w14:textId="77777777" w:rsidR="00BE0E57" w:rsidRDefault="00000000">
      <w:pPr>
        <w:spacing w:before="240" w:after="240" w:line="276" w:lineRule="auto"/>
        <w:jc w:val="both"/>
        <w:rPr>
          <w:color w:val="1155CC"/>
          <w:sz w:val="24"/>
          <w:szCs w:val="24"/>
          <w:u w:val="single"/>
        </w:rPr>
      </w:pPr>
      <w:r>
        <w:rPr>
          <w:sz w:val="24"/>
          <w:szCs w:val="24"/>
        </w:rPr>
        <w:t>A significant aspect of this initiative involves the use of ITS (mentioned among strategies) to enhance urban logistics. These systems use real-time data to adjust delivery schedules and routes based on current traffic conditions, further reducing travel time and environmental impact.</w:t>
      </w:r>
    </w:p>
    <w:p w14:paraId="4E320DA0" w14:textId="77777777" w:rsidR="00BE0E57" w:rsidRDefault="00000000">
      <w:pPr>
        <w:spacing w:before="240" w:after="240" w:line="276" w:lineRule="auto"/>
        <w:jc w:val="both"/>
        <w:rPr>
          <w:sz w:val="24"/>
          <w:szCs w:val="24"/>
        </w:rPr>
      </w:pPr>
      <w:r>
        <w:rPr>
          <w:sz w:val="24"/>
          <w:szCs w:val="24"/>
        </w:rPr>
        <w:t xml:space="preserve">The </w:t>
      </w:r>
      <w:proofErr w:type="gramStart"/>
      <w:r>
        <w:rPr>
          <w:sz w:val="24"/>
          <w:szCs w:val="24"/>
        </w:rPr>
        <w:t>end-game</w:t>
      </w:r>
      <w:proofErr w:type="gramEnd"/>
      <w:r>
        <w:rPr>
          <w:sz w:val="24"/>
          <w:szCs w:val="24"/>
        </w:rPr>
        <w:t xml:space="preserve"> here is that by operating fewer vehicles within city limits companies can effectively contribute to lower GHG emissions and improve urban air quality. Additionally, reducing large trucks and delivery vans in city centres alleviates traffic congestion, enhancing pedestrian and cyclist safety while creating a more pleasant urban environment. For businesses, the use of centralised logistics hubs enhances operational efficiency, leading to quicker deliveries and better resource coordination - </w:t>
      </w:r>
      <w:proofErr w:type="gramStart"/>
      <w:r>
        <w:rPr>
          <w:sz w:val="24"/>
          <w:szCs w:val="24"/>
        </w:rPr>
        <w:t>and also</w:t>
      </w:r>
      <w:proofErr w:type="gramEnd"/>
      <w:r>
        <w:rPr>
          <w:sz w:val="24"/>
          <w:szCs w:val="24"/>
        </w:rPr>
        <w:t xml:space="preserve"> increases customer satisfaction by ensuring more reliable delivery schedules.</w:t>
      </w:r>
    </w:p>
    <w:p w14:paraId="71419ECB" w14:textId="77777777" w:rsidR="00BE0E57" w:rsidRDefault="00BE0E57">
      <w:pPr>
        <w:spacing w:after="0" w:line="276" w:lineRule="auto"/>
        <w:jc w:val="both"/>
        <w:rPr>
          <w:b/>
          <w:sz w:val="24"/>
          <w:szCs w:val="24"/>
        </w:rPr>
      </w:pPr>
    </w:p>
    <w:p w14:paraId="7D75D29F" w14:textId="77777777" w:rsidR="00BE0E57" w:rsidRDefault="00BE0E57">
      <w:pPr>
        <w:spacing w:after="0" w:line="276" w:lineRule="auto"/>
        <w:jc w:val="both"/>
        <w:rPr>
          <w:b/>
          <w:sz w:val="24"/>
          <w:szCs w:val="24"/>
        </w:rPr>
      </w:pPr>
    </w:p>
    <w:p w14:paraId="2C1E07C9" w14:textId="77777777" w:rsidR="00BE0E57" w:rsidRDefault="00BE0E57">
      <w:pPr>
        <w:jc w:val="both"/>
      </w:pPr>
    </w:p>
    <w:sectPr w:rsidR="00BE0E57">
      <w:headerReference w:type="default" r:id="rId10"/>
      <w:footerReference w:type="default" r:id="rId11"/>
      <w:pgSz w:w="11906" w:h="16838"/>
      <w:pgMar w:top="1417" w:right="1196" w:bottom="1417" w:left="126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63718" w14:textId="77777777" w:rsidR="00761DC0" w:rsidRDefault="00761DC0">
      <w:pPr>
        <w:spacing w:after="0" w:line="240" w:lineRule="auto"/>
      </w:pPr>
      <w:r>
        <w:separator/>
      </w:r>
    </w:p>
  </w:endnote>
  <w:endnote w:type="continuationSeparator" w:id="0">
    <w:p w14:paraId="5EFDE91E" w14:textId="77777777" w:rsidR="00761DC0" w:rsidRDefault="00761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BCC277FB-06F6-4135-B5B6-91F330D06250}"/>
  </w:font>
  <w:font w:name="Calibri">
    <w:panose1 w:val="020F0502020204030204"/>
    <w:charset w:val="00"/>
    <w:family w:val="swiss"/>
    <w:pitch w:val="variable"/>
    <w:sig w:usb0="E4002EFF" w:usb1="C200247B" w:usb2="00000009" w:usb3="00000000" w:csb0="000001FF" w:csb1="00000000"/>
    <w:embedRegular r:id="rId2" w:fontKey="{A74C0BF4-4F77-4F7E-9BE8-69EA4FDBE46E}"/>
    <w:embedBold r:id="rId3" w:fontKey="{F5C6717C-B3F7-43C8-AF3A-BDDAAA9E853D}"/>
    <w:embedItalic r:id="rId4" w:fontKey="{5A5D1E88-F07C-4424-8D57-294D06CC7F48}"/>
  </w:font>
  <w:font w:name="Calibri Light">
    <w:panose1 w:val="020F0302020204030204"/>
    <w:charset w:val="00"/>
    <w:family w:val="swiss"/>
    <w:pitch w:val="variable"/>
    <w:sig w:usb0="E4002EFF" w:usb1="C200247B" w:usb2="00000009" w:usb3="00000000" w:csb0="000001FF" w:csb1="00000000"/>
    <w:embedRegular r:id="rId5" w:fontKey="{4A8F8044-7FF5-4E94-B7F7-47AB6B11D961}"/>
    <w:embedBold r:id="rId6" w:fontKey="{68ADFAD6-4329-40CC-8120-DE533A5A6007}"/>
    <w:embedItalic r:id="rId7" w:fontKey="{81D2A5F2-02BE-4526-AC68-5EF75BB9A041}"/>
  </w:font>
  <w:font w:name="Roboto Medium">
    <w:charset w:val="00"/>
    <w:family w:val="auto"/>
    <w:pitch w:val="variable"/>
    <w:sig w:usb0="E0000AFF" w:usb1="5000217F" w:usb2="00000021" w:usb3="00000000" w:csb0="0000019F" w:csb1="00000000"/>
    <w:embedRegular r:id="rId8" w:fontKey="{894CDC23-16FE-4A22-B4CF-2427C04BA328}"/>
    <w:embedBold r:id="rId9" w:fontKey="{129C2B3B-50C5-4DDE-B33A-3414B92983B3}"/>
  </w:font>
  <w:font w:name="Noto Serif">
    <w:charset w:val="00"/>
    <w:family w:val="roman"/>
    <w:pitch w:val="variable"/>
    <w:sig w:usb0="E00002FF" w:usb1="500078FF" w:usb2="00000029" w:usb3="00000000" w:csb0="0000019F" w:csb1="00000000"/>
    <w:embedRegular r:id="rId10" w:fontKey="{2BDCAD00-2A2C-448F-82E6-00685ABBBF76}"/>
    <w:embedBold r:id="rId11" w:fontKey="{94296429-80F9-4AE1-8F17-1F05944998A0}"/>
  </w:font>
  <w:font w:name="Roboto Slab">
    <w:charset w:val="00"/>
    <w:family w:val="auto"/>
    <w:pitch w:val="variable"/>
    <w:sig w:usb0="000004FF" w:usb1="8000405F" w:usb2="00000022" w:usb3="00000000" w:csb0="0000019F" w:csb1="00000000"/>
    <w:embedBold r:id="rId12" w:fontKey="{A88F4CA9-8703-4E98-8B6E-C5F9BC8290F9}"/>
  </w:font>
  <w:font w:name="Arial Narrow">
    <w:panose1 w:val="020B0606020202030204"/>
    <w:charset w:val="00"/>
    <w:family w:val="swiss"/>
    <w:pitch w:val="variable"/>
    <w:sig w:usb0="00000287" w:usb1="00000800" w:usb2="00000000" w:usb3="00000000" w:csb0="0000009F" w:csb1="00000000"/>
    <w:embedRegular r:id="rId13" w:fontKey="{506D1585-ED1D-4F1C-9685-5FF21DF495DC}"/>
    <w:embedBold r:id="rId14" w:fontKey="{001422A4-3159-4661-AA75-EE7AEAA79277}"/>
  </w:font>
  <w:font w:name="Tahoma">
    <w:panose1 w:val="020B0604030504040204"/>
    <w:charset w:val="00"/>
    <w:family w:val="swiss"/>
    <w:pitch w:val="variable"/>
    <w:sig w:usb0="E1002EFF" w:usb1="C000605B" w:usb2="00000029" w:usb3="00000000" w:csb0="000101FF" w:csb1="00000000"/>
    <w:embedRegular r:id="rId15" w:fontKey="{B0A81F1A-CD03-449C-B2CA-474AA22C24D8}"/>
  </w:font>
  <w:font w:name="Avenir-Light">
    <w:altName w:val="Calibri"/>
    <w:charset w:val="00"/>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E25E9" w14:textId="77777777" w:rsidR="00BE0E5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B966BF">
      <w:rPr>
        <w:noProof/>
        <w:color w:val="000000"/>
      </w:rPr>
      <w:t>2</w:t>
    </w:r>
    <w:r>
      <w:rPr>
        <w:color w:val="000000"/>
      </w:rPr>
      <w:fldChar w:fldCharType="end"/>
    </w:r>
    <w:r>
      <w:rPr>
        <w:color w:val="000000"/>
      </w:rPr>
      <w:t xml:space="preserve"> </w:t>
    </w:r>
  </w:p>
  <w:p w14:paraId="39F128D2" w14:textId="77777777" w:rsidR="00BE0E57" w:rsidRDefault="00BE0E57">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43533" w14:textId="77777777" w:rsidR="00761DC0" w:rsidRDefault="00761DC0">
      <w:pPr>
        <w:spacing w:after="0" w:line="240" w:lineRule="auto"/>
      </w:pPr>
      <w:r>
        <w:separator/>
      </w:r>
    </w:p>
  </w:footnote>
  <w:footnote w:type="continuationSeparator" w:id="0">
    <w:p w14:paraId="353782DC" w14:textId="77777777" w:rsidR="00761DC0" w:rsidRDefault="00761DC0">
      <w:pPr>
        <w:spacing w:after="0" w:line="240" w:lineRule="auto"/>
      </w:pPr>
      <w:r>
        <w:continuationSeparator/>
      </w:r>
    </w:p>
  </w:footnote>
  <w:footnote w:id="1">
    <w:p w14:paraId="217F34C2"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
        <w:proofErr w:type="spellStart"/>
        <w:r>
          <w:rPr>
            <w:color w:val="1155CC"/>
            <w:sz w:val="20"/>
            <w:szCs w:val="20"/>
            <w:u w:val="single"/>
          </w:rPr>
          <w:t>Nemzeti</w:t>
        </w:r>
        <w:proofErr w:type="spellEnd"/>
        <w:r>
          <w:rPr>
            <w:color w:val="1155CC"/>
            <w:sz w:val="20"/>
            <w:szCs w:val="20"/>
            <w:u w:val="single"/>
          </w:rPr>
          <w:t xml:space="preserve"> </w:t>
        </w:r>
        <w:proofErr w:type="spellStart"/>
        <w:r>
          <w:rPr>
            <w:color w:val="1155CC"/>
            <w:sz w:val="20"/>
            <w:szCs w:val="20"/>
            <w:u w:val="single"/>
          </w:rPr>
          <w:t>Tiszta</w:t>
        </w:r>
        <w:proofErr w:type="spellEnd"/>
        <w:r>
          <w:rPr>
            <w:color w:val="1155CC"/>
            <w:sz w:val="20"/>
            <w:szCs w:val="20"/>
            <w:u w:val="single"/>
          </w:rPr>
          <w:t xml:space="preserve"> </w:t>
        </w:r>
        <w:proofErr w:type="spellStart"/>
        <w:r>
          <w:rPr>
            <w:color w:val="1155CC"/>
            <w:sz w:val="20"/>
            <w:szCs w:val="20"/>
            <w:u w:val="single"/>
          </w:rPr>
          <w:t>Fejlődési</w:t>
        </w:r>
        <w:proofErr w:type="spellEnd"/>
        <w:r>
          <w:rPr>
            <w:color w:val="1155CC"/>
            <w:sz w:val="20"/>
            <w:szCs w:val="20"/>
            <w:u w:val="single"/>
          </w:rPr>
          <w:t xml:space="preserve"> </w:t>
        </w:r>
        <w:proofErr w:type="spellStart"/>
        <w:r>
          <w:rPr>
            <w:color w:val="1155CC"/>
            <w:sz w:val="20"/>
            <w:szCs w:val="20"/>
            <w:u w:val="single"/>
          </w:rPr>
          <w:t>Stratégia</w:t>
        </w:r>
        <w:proofErr w:type="spellEnd"/>
        <w:r>
          <w:rPr>
            <w:color w:val="1155CC"/>
            <w:sz w:val="20"/>
            <w:szCs w:val="20"/>
            <w:u w:val="single"/>
          </w:rPr>
          <w:t xml:space="preserve"> 2020-2050</w:t>
        </w:r>
      </w:hyperlink>
      <w:r>
        <w:rPr>
          <w:sz w:val="20"/>
          <w:szCs w:val="20"/>
        </w:rPr>
        <w:t xml:space="preserve"> </w:t>
      </w:r>
    </w:p>
  </w:footnote>
  <w:footnote w:id="2">
    <w:p w14:paraId="2817AFA6"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
        <w:proofErr w:type="spellStart"/>
        <w:r>
          <w:rPr>
            <w:color w:val="1155CC"/>
            <w:sz w:val="20"/>
            <w:szCs w:val="20"/>
            <w:u w:val="single"/>
          </w:rPr>
          <w:t>második</w:t>
        </w:r>
        <w:proofErr w:type="spellEnd"/>
        <w:r>
          <w:rPr>
            <w:color w:val="1155CC"/>
            <w:sz w:val="20"/>
            <w:szCs w:val="20"/>
            <w:u w:val="single"/>
          </w:rPr>
          <w:t xml:space="preserve"> </w:t>
        </w:r>
        <w:proofErr w:type="spellStart"/>
        <w:r>
          <w:rPr>
            <w:color w:val="1155CC"/>
            <w:sz w:val="20"/>
            <w:szCs w:val="20"/>
            <w:u w:val="single"/>
          </w:rPr>
          <w:t>Nemzeti</w:t>
        </w:r>
        <w:proofErr w:type="spellEnd"/>
        <w:r>
          <w:rPr>
            <w:color w:val="1155CC"/>
            <w:sz w:val="20"/>
            <w:szCs w:val="20"/>
            <w:u w:val="single"/>
          </w:rPr>
          <w:t xml:space="preserve"> </w:t>
        </w:r>
        <w:proofErr w:type="spellStart"/>
        <w:r>
          <w:rPr>
            <w:color w:val="1155CC"/>
            <w:sz w:val="20"/>
            <w:szCs w:val="20"/>
            <w:u w:val="single"/>
          </w:rPr>
          <w:t>Éghajlatváltozási</w:t>
        </w:r>
        <w:proofErr w:type="spellEnd"/>
        <w:r>
          <w:rPr>
            <w:color w:val="1155CC"/>
            <w:sz w:val="20"/>
            <w:szCs w:val="20"/>
            <w:u w:val="single"/>
          </w:rPr>
          <w:t xml:space="preserve"> </w:t>
        </w:r>
        <w:proofErr w:type="spellStart"/>
        <w:r>
          <w:rPr>
            <w:color w:val="1155CC"/>
            <w:sz w:val="20"/>
            <w:szCs w:val="20"/>
            <w:u w:val="single"/>
          </w:rPr>
          <w:t>Stratégia</w:t>
        </w:r>
        <w:proofErr w:type="spellEnd"/>
      </w:hyperlink>
      <w:r>
        <w:rPr>
          <w:sz w:val="20"/>
          <w:szCs w:val="20"/>
        </w:rPr>
        <w:t xml:space="preserve"> </w:t>
      </w:r>
    </w:p>
  </w:footnote>
  <w:footnote w:id="3">
    <w:p w14:paraId="2FBA3D7C"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
        <w:r>
          <w:rPr>
            <w:color w:val="1155CC"/>
            <w:sz w:val="20"/>
            <w:szCs w:val="20"/>
            <w:u w:val="single"/>
          </w:rPr>
          <w:t>National energy strategy 2030</w:t>
        </w:r>
      </w:hyperlink>
      <w:r>
        <w:rPr>
          <w:sz w:val="20"/>
          <w:szCs w:val="20"/>
        </w:rPr>
        <w:t xml:space="preserve"> </w:t>
      </w:r>
    </w:p>
  </w:footnote>
  <w:footnote w:id="4">
    <w:p w14:paraId="16D59125"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
        <w:r>
          <w:rPr>
            <w:color w:val="1155CC"/>
            <w:sz w:val="20"/>
            <w:szCs w:val="20"/>
            <w:u w:val="single"/>
          </w:rPr>
          <w:t>HUNGARY’S NATIONAL HYDROGEN STRATEGY</w:t>
        </w:r>
      </w:hyperlink>
      <w:r>
        <w:rPr>
          <w:sz w:val="20"/>
          <w:szCs w:val="20"/>
        </w:rPr>
        <w:t xml:space="preserve"> </w:t>
      </w:r>
    </w:p>
  </w:footnote>
  <w:footnote w:id="5">
    <w:p w14:paraId="1A2DFCC7"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
        <w:r>
          <w:rPr>
            <w:color w:val="1155CC"/>
            <w:sz w:val="20"/>
            <w:szCs w:val="20"/>
            <w:u w:val="single"/>
          </w:rPr>
          <w:t>Parliament passes law on climate protection</w:t>
        </w:r>
      </w:hyperlink>
      <w:r>
        <w:rPr>
          <w:sz w:val="20"/>
          <w:szCs w:val="20"/>
        </w:rPr>
        <w:t xml:space="preserve"> </w:t>
      </w:r>
    </w:p>
  </w:footnote>
  <w:footnote w:id="6">
    <w:p w14:paraId="71472AF1"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
        <w:r>
          <w:rPr>
            <w:color w:val="1155CC"/>
            <w:sz w:val="20"/>
            <w:szCs w:val="20"/>
            <w:u w:val="single"/>
          </w:rPr>
          <w:t>Solar Energy Capacity Reaches 5,649 MW - Budapest Business Journal</w:t>
        </w:r>
      </w:hyperlink>
      <w:r>
        <w:rPr>
          <w:sz w:val="20"/>
          <w:szCs w:val="20"/>
        </w:rPr>
        <w:t xml:space="preserve"> </w:t>
      </w:r>
    </w:p>
  </w:footnote>
  <w:footnote w:id="7">
    <w:p w14:paraId="524758C9" w14:textId="77777777" w:rsidR="00BE0E57" w:rsidRDefault="00000000">
      <w:pPr>
        <w:spacing w:after="0" w:line="240" w:lineRule="auto"/>
        <w:rPr>
          <w:color w:val="1155CC"/>
          <w:sz w:val="20"/>
          <w:szCs w:val="20"/>
          <w:u w:val="single"/>
        </w:rPr>
      </w:pPr>
      <w:r>
        <w:rPr>
          <w:rStyle w:val="FootnoteReference"/>
        </w:rPr>
        <w:footnoteRef/>
      </w:r>
      <w:r>
        <w:rPr>
          <w:sz w:val="20"/>
          <w:szCs w:val="20"/>
        </w:rPr>
        <w:t xml:space="preserve"> </w:t>
      </w:r>
      <w:hyperlink r:id="rId7">
        <w:r>
          <w:rPr>
            <w:color w:val="1155CC"/>
            <w:sz w:val="20"/>
            <w:szCs w:val="20"/>
            <w:u w:val="single"/>
          </w:rPr>
          <w:t>National Energy and Climate Plan</w:t>
        </w:r>
      </w:hyperlink>
      <w:r>
        <w:rPr>
          <w:color w:val="1155CC"/>
          <w:sz w:val="20"/>
          <w:szCs w:val="20"/>
          <w:u w:val="single"/>
        </w:rPr>
        <w:t xml:space="preserve"> (2023) </w:t>
      </w:r>
    </w:p>
  </w:footnote>
  <w:footnote w:id="8">
    <w:p w14:paraId="1625ECF7" w14:textId="77777777" w:rsidR="00BE0E57" w:rsidRDefault="00000000">
      <w:pPr>
        <w:spacing w:after="0" w:line="240" w:lineRule="auto"/>
        <w:rPr>
          <w:sz w:val="20"/>
          <w:szCs w:val="20"/>
        </w:rPr>
      </w:pPr>
      <w:r>
        <w:rPr>
          <w:rStyle w:val="FootnoteReference"/>
        </w:rPr>
        <w:footnoteRef/>
      </w:r>
      <w:r>
        <w:rPr>
          <w:sz w:val="20"/>
          <w:szCs w:val="20"/>
        </w:rPr>
        <w:t xml:space="preserve"> </w:t>
      </w:r>
      <w:hyperlink r:id="rId8">
        <w:r>
          <w:rPr>
            <w:color w:val="1155CC"/>
            <w:sz w:val="20"/>
            <w:szCs w:val="20"/>
            <w:u w:val="single"/>
          </w:rPr>
          <w:t>Hungary: EIB signs its first green loan to unlock €300 million for improved energy efficiency of homes</w:t>
        </w:r>
      </w:hyperlink>
      <w:r>
        <w:rPr>
          <w:sz w:val="20"/>
          <w:szCs w:val="20"/>
        </w:rPr>
        <w:t xml:space="preserve"> </w:t>
      </w:r>
    </w:p>
  </w:footnote>
  <w:footnote w:id="9">
    <w:p w14:paraId="48008052" w14:textId="77777777" w:rsidR="00BE0E57" w:rsidRDefault="00000000">
      <w:pPr>
        <w:spacing w:after="0" w:line="240" w:lineRule="auto"/>
        <w:rPr>
          <w:sz w:val="20"/>
          <w:szCs w:val="20"/>
        </w:rPr>
      </w:pPr>
      <w:r>
        <w:rPr>
          <w:rStyle w:val="FootnoteReference"/>
        </w:rPr>
        <w:footnoteRef/>
      </w:r>
      <w:r>
        <w:rPr>
          <w:sz w:val="20"/>
          <w:szCs w:val="20"/>
        </w:rPr>
        <w:t xml:space="preserve"> </w:t>
      </w:r>
      <w:hyperlink r:id="rId9">
        <w:r>
          <w:rPr>
            <w:color w:val="1155CC"/>
            <w:sz w:val="20"/>
            <w:szCs w:val="20"/>
            <w:u w:val="single"/>
          </w:rPr>
          <w:t>European Commission - Press release: State aid</w:t>
        </w:r>
      </w:hyperlink>
      <w:r>
        <w:rPr>
          <w:sz w:val="20"/>
          <w:szCs w:val="20"/>
        </w:rPr>
        <w:t xml:space="preserve"> </w:t>
      </w:r>
    </w:p>
  </w:footnote>
  <w:footnote w:id="10">
    <w:p w14:paraId="5647934B"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0">
        <w:r>
          <w:rPr>
            <w:color w:val="1155CC"/>
            <w:sz w:val="20"/>
            <w:szCs w:val="20"/>
            <w:u w:val="single"/>
          </w:rPr>
          <w:t xml:space="preserve">European Commission - Press release: </w:t>
        </w:r>
        <w:proofErr w:type="spellStart"/>
        <w:r>
          <w:rPr>
            <w:color w:val="1155CC"/>
            <w:sz w:val="20"/>
            <w:szCs w:val="20"/>
            <w:u w:val="single"/>
          </w:rPr>
          <w:t>REPowerEU</w:t>
        </w:r>
        <w:proofErr w:type="spellEnd"/>
        <w:r>
          <w:rPr>
            <w:color w:val="1155CC"/>
            <w:sz w:val="20"/>
            <w:szCs w:val="20"/>
            <w:u w:val="single"/>
          </w:rPr>
          <w:t xml:space="preserve"> chapter</w:t>
        </w:r>
      </w:hyperlink>
      <w:r>
        <w:rPr>
          <w:sz w:val="20"/>
          <w:szCs w:val="20"/>
        </w:rPr>
        <w:t xml:space="preserve"> </w:t>
      </w:r>
    </w:p>
  </w:footnote>
  <w:footnote w:id="11">
    <w:p w14:paraId="12EA855B"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1">
        <w:r>
          <w:rPr>
            <w:color w:val="1155CC"/>
            <w:sz w:val="20"/>
            <w:szCs w:val="20"/>
            <w:u w:val="single"/>
          </w:rPr>
          <w:t>Hungary says EU not doing enough to end Russian gas dependence | Reuters</w:t>
        </w:r>
      </w:hyperlink>
      <w:r>
        <w:rPr>
          <w:sz w:val="20"/>
          <w:szCs w:val="20"/>
        </w:rPr>
        <w:t xml:space="preserve"> </w:t>
      </w:r>
    </w:p>
  </w:footnote>
  <w:footnote w:id="12">
    <w:p w14:paraId="4A0AB71E"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2">
        <w:r>
          <w:rPr>
            <w:color w:val="1155CC"/>
            <w:sz w:val="20"/>
            <w:szCs w:val="20"/>
            <w:u w:val="single"/>
          </w:rPr>
          <w:t>HUNGARY Energy Snapshot</w:t>
        </w:r>
      </w:hyperlink>
      <w:r>
        <w:rPr>
          <w:sz w:val="20"/>
          <w:szCs w:val="20"/>
        </w:rPr>
        <w:t xml:space="preserve"> </w:t>
      </w:r>
    </w:p>
  </w:footnote>
  <w:footnote w:id="13">
    <w:p w14:paraId="181FE98B"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3">
        <w:proofErr w:type="spellStart"/>
        <w:r>
          <w:rPr>
            <w:color w:val="1155CC"/>
            <w:sz w:val="20"/>
            <w:szCs w:val="20"/>
            <w:u w:val="single"/>
          </w:rPr>
          <w:t>Krk</w:t>
        </w:r>
        <w:proofErr w:type="spellEnd"/>
        <w:r>
          <w:rPr>
            <w:color w:val="1155CC"/>
            <w:sz w:val="20"/>
            <w:szCs w:val="20"/>
            <w:u w:val="single"/>
          </w:rPr>
          <w:t xml:space="preserve"> LNG terminal receives new capacity booking from MFGK Croatia - CEENERGYNEWS</w:t>
        </w:r>
      </w:hyperlink>
      <w:r>
        <w:rPr>
          <w:sz w:val="20"/>
          <w:szCs w:val="20"/>
        </w:rPr>
        <w:t xml:space="preserve"> </w:t>
      </w:r>
    </w:p>
  </w:footnote>
  <w:footnote w:id="14">
    <w:p w14:paraId="1B4F45B3"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4">
        <w:r>
          <w:rPr>
            <w:color w:val="1155CC"/>
            <w:sz w:val="20"/>
            <w:szCs w:val="20"/>
            <w:u w:val="single"/>
          </w:rPr>
          <w:t>Hungary concludes historic LNG purchasing agreement with Shell</w:t>
        </w:r>
      </w:hyperlink>
      <w:r>
        <w:rPr>
          <w:sz w:val="20"/>
          <w:szCs w:val="20"/>
        </w:rPr>
        <w:t xml:space="preserve"> </w:t>
      </w:r>
    </w:p>
  </w:footnote>
  <w:footnote w:id="15">
    <w:p w14:paraId="4B31B373"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5">
        <w:proofErr w:type="spellStart"/>
        <w:r>
          <w:rPr>
            <w:color w:val="1155CC"/>
            <w:sz w:val="20"/>
            <w:szCs w:val="20"/>
            <w:u w:val="single"/>
          </w:rPr>
          <w:t>Bosiljevo</w:t>
        </w:r>
        <w:proofErr w:type="spellEnd"/>
        <w:r>
          <w:rPr>
            <w:color w:val="1155CC"/>
            <w:sz w:val="20"/>
            <w:szCs w:val="20"/>
            <w:u w:val="single"/>
          </w:rPr>
          <w:t>-Sisak-</w:t>
        </w:r>
        <w:proofErr w:type="spellStart"/>
        <w:r>
          <w:rPr>
            <w:color w:val="1155CC"/>
            <w:sz w:val="20"/>
            <w:szCs w:val="20"/>
            <w:u w:val="single"/>
          </w:rPr>
          <w:t>Kozarac</w:t>
        </w:r>
        <w:proofErr w:type="spellEnd"/>
        <w:r>
          <w:rPr>
            <w:color w:val="1155CC"/>
            <w:sz w:val="20"/>
            <w:szCs w:val="20"/>
            <w:u w:val="single"/>
          </w:rPr>
          <w:t>-</w:t>
        </w:r>
        <w:proofErr w:type="spellStart"/>
        <w:r>
          <w:rPr>
            <w:color w:val="1155CC"/>
            <w:sz w:val="20"/>
            <w:szCs w:val="20"/>
            <w:u w:val="single"/>
          </w:rPr>
          <w:t>Slobodnica</w:t>
        </w:r>
        <w:proofErr w:type="spellEnd"/>
        <w:r>
          <w:rPr>
            <w:color w:val="1155CC"/>
            <w:sz w:val="20"/>
            <w:szCs w:val="20"/>
            <w:u w:val="single"/>
          </w:rPr>
          <w:t xml:space="preserve"> Gas Pipeline</w:t>
        </w:r>
      </w:hyperlink>
      <w:r>
        <w:rPr>
          <w:sz w:val="20"/>
          <w:szCs w:val="20"/>
        </w:rPr>
        <w:t xml:space="preserve"> </w:t>
      </w:r>
    </w:p>
  </w:footnote>
  <w:footnote w:id="16">
    <w:p w14:paraId="4CBE314C"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6">
        <w:r>
          <w:rPr>
            <w:color w:val="1155CC"/>
            <w:sz w:val="20"/>
            <w:szCs w:val="20"/>
            <w:u w:val="single"/>
          </w:rPr>
          <w:t xml:space="preserve">Expanded </w:t>
        </w:r>
        <w:proofErr w:type="spellStart"/>
        <w:r>
          <w:rPr>
            <w:color w:val="1155CC"/>
            <w:sz w:val="20"/>
            <w:szCs w:val="20"/>
            <w:u w:val="single"/>
          </w:rPr>
          <w:t>Krk</w:t>
        </w:r>
        <w:proofErr w:type="spellEnd"/>
        <w:r>
          <w:rPr>
            <w:color w:val="1155CC"/>
            <w:sz w:val="20"/>
            <w:szCs w:val="20"/>
            <w:u w:val="single"/>
          </w:rPr>
          <w:t xml:space="preserve"> Terminal to go Live in Early 2025: LNG Croatia - Budapest Business Journal</w:t>
        </w:r>
      </w:hyperlink>
      <w:r>
        <w:rPr>
          <w:sz w:val="20"/>
          <w:szCs w:val="20"/>
        </w:rPr>
        <w:t xml:space="preserve"> </w:t>
      </w:r>
    </w:p>
  </w:footnote>
  <w:footnote w:id="17">
    <w:p w14:paraId="37760761"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7">
        <w:r>
          <w:rPr>
            <w:color w:val="1155CC"/>
            <w:sz w:val="20"/>
            <w:szCs w:val="20"/>
            <w:u w:val="single"/>
          </w:rPr>
          <w:t xml:space="preserve">New Interconnection Agreement between </w:t>
        </w:r>
        <w:proofErr w:type="spellStart"/>
        <w:r>
          <w:rPr>
            <w:color w:val="1155CC"/>
            <w:sz w:val="20"/>
            <w:szCs w:val="20"/>
            <w:u w:val="single"/>
          </w:rPr>
          <w:t>Eustream</w:t>
        </w:r>
        <w:proofErr w:type="spellEnd"/>
        <w:r>
          <w:rPr>
            <w:color w:val="1155CC"/>
            <w:sz w:val="20"/>
            <w:szCs w:val="20"/>
            <w:u w:val="single"/>
          </w:rPr>
          <w:t xml:space="preserve"> (Slovakia) and FGSZ (Hungary)</w:t>
        </w:r>
      </w:hyperlink>
      <w:r>
        <w:rPr>
          <w:sz w:val="20"/>
          <w:szCs w:val="20"/>
        </w:rPr>
        <w:t xml:space="preserve"> </w:t>
      </w:r>
    </w:p>
  </w:footnote>
  <w:footnote w:id="18">
    <w:p w14:paraId="4605D4C0"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8">
        <w:r>
          <w:rPr>
            <w:color w:val="1155CC"/>
            <w:sz w:val="20"/>
            <w:szCs w:val="20"/>
            <w:u w:val="single"/>
          </w:rPr>
          <w:t>Hungary, Romania Agree to Boost Gas Interconnector Capacity - Budapest Business Journal</w:t>
        </w:r>
      </w:hyperlink>
      <w:r>
        <w:rPr>
          <w:sz w:val="20"/>
          <w:szCs w:val="20"/>
        </w:rPr>
        <w:t xml:space="preserve"> </w:t>
      </w:r>
    </w:p>
  </w:footnote>
  <w:footnote w:id="19">
    <w:p w14:paraId="68BFB2A6" w14:textId="77777777" w:rsidR="00BE0E57" w:rsidRDefault="00000000">
      <w:pPr>
        <w:spacing w:after="0" w:line="240" w:lineRule="auto"/>
        <w:rPr>
          <w:sz w:val="20"/>
          <w:szCs w:val="20"/>
        </w:rPr>
      </w:pPr>
      <w:r>
        <w:rPr>
          <w:rStyle w:val="FootnoteReference"/>
        </w:rPr>
        <w:footnoteRef/>
      </w:r>
      <w:r>
        <w:rPr>
          <w:sz w:val="20"/>
          <w:szCs w:val="20"/>
        </w:rPr>
        <w:t xml:space="preserve"> </w:t>
      </w:r>
      <w:hyperlink r:id="rId19">
        <w:r>
          <w:rPr>
            <w:color w:val="1155CC"/>
            <w:sz w:val="20"/>
            <w:szCs w:val="20"/>
            <w:u w:val="single"/>
          </w:rPr>
          <w:t xml:space="preserve">More gas could be on the way for the EU through the Southern Gas Corridor | </w:t>
        </w:r>
        <w:proofErr w:type="spellStart"/>
        <w:r>
          <w:rPr>
            <w:color w:val="1155CC"/>
            <w:sz w:val="20"/>
            <w:szCs w:val="20"/>
            <w:u w:val="single"/>
          </w:rPr>
          <w:t>Euronews</w:t>
        </w:r>
        <w:proofErr w:type="spellEnd"/>
      </w:hyperlink>
      <w:r>
        <w:rPr>
          <w:sz w:val="20"/>
          <w:szCs w:val="20"/>
        </w:rPr>
        <w:t xml:space="preserve"> </w:t>
      </w:r>
    </w:p>
  </w:footnote>
  <w:footnote w:id="20">
    <w:p w14:paraId="1D356F89"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0">
        <w:r>
          <w:rPr>
            <w:color w:val="1155CC"/>
            <w:sz w:val="20"/>
            <w:szCs w:val="20"/>
            <w:u w:val="single"/>
          </w:rPr>
          <w:t>Hungary says EU not doing enough to end Russian gas dependence | Reuters</w:t>
        </w:r>
      </w:hyperlink>
      <w:r>
        <w:rPr>
          <w:sz w:val="20"/>
          <w:szCs w:val="20"/>
        </w:rPr>
        <w:t xml:space="preserve"> </w:t>
      </w:r>
    </w:p>
  </w:footnote>
  <w:footnote w:id="21">
    <w:p w14:paraId="26049D75"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1">
        <w:r>
          <w:rPr>
            <w:color w:val="1155CC"/>
            <w:sz w:val="20"/>
            <w:szCs w:val="20"/>
            <w:u w:val="single"/>
          </w:rPr>
          <w:t>Central and South-Eastern Europe Energy Connectivity</w:t>
        </w:r>
      </w:hyperlink>
      <w:r>
        <w:rPr>
          <w:sz w:val="20"/>
          <w:szCs w:val="20"/>
        </w:rPr>
        <w:t xml:space="preserve"> </w:t>
      </w:r>
    </w:p>
  </w:footnote>
  <w:footnote w:id="22">
    <w:p w14:paraId="1A195E4F"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2">
        <w:r>
          <w:rPr>
            <w:color w:val="1155CC"/>
            <w:sz w:val="20"/>
            <w:szCs w:val="20"/>
            <w:u w:val="single"/>
          </w:rPr>
          <w:t>4M Market Coupling launches successfully by using PCR solution</w:t>
        </w:r>
      </w:hyperlink>
      <w:r>
        <w:rPr>
          <w:sz w:val="20"/>
          <w:szCs w:val="20"/>
        </w:rPr>
        <w:t xml:space="preserve"> </w:t>
      </w:r>
    </w:p>
  </w:footnote>
  <w:footnote w:id="23">
    <w:p w14:paraId="5A43B724"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3">
        <w:r>
          <w:rPr>
            <w:color w:val="1155CC"/>
            <w:sz w:val="20"/>
            <w:szCs w:val="20"/>
            <w:u w:val="single"/>
          </w:rPr>
          <w:t>DE-AT-PL-4M MC (Interim Coupling) Project GO-LIVE: a new era begins - News - HUPX</w:t>
        </w:r>
      </w:hyperlink>
      <w:r>
        <w:rPr>
          <w:sz w:val="20"/>
          <w:szCs w:val="20"/>
        </w:rPr>
        <w:t xml:space="preserve"> </w:t>
      </w:r>
    </w:p>
  </w:footnote>
  <w:footnote w:id="24">
    <w:p w14:paraId="72D5D3FD"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4">
        <w:r>
          <w:rPr>
            <w:color w:val="1155CC"/>
            <w:sz w:val="20"/>
            <w:szCs w:val="20"/>
            <w:u w:val="single"/>
          </w:rPr>
          <w:t xml:space="preserve">Hungary launches new </w:t>
        </w:r>
        <w:proofErr w:type="spellStart"/>
        <w:r>
          <w:rPr>
            <w:color w:val="1155CC"/>
            <w:sz w:val="20"/>
            <w:szCs w:val="20"/>
            <w:u w:val="single"/>
          </w:rPr>
          <w:t>CfD</w:t>
        </w:r>
        <w:proofErr w:type="spellEnd"/>
        <w:r>
          <w:rPr>
            <w:color w:val="1155CC"/>
            <w:sz w:val="20"/>
            <w:szCs w:val="20"/>
            <w:u w:val="single"/>
          </w:rPr>
          <w:t xml:space="preserve"> support scheme targeting electricity storage operators</w:t>
        </w:r>
      </w:hyperlink>
      <w:r>
        <w:rPr>
          <w:sz w:val="20"/>
          <w:szCs w:val="20"/>
        </w:rPr>
        <w:t xml:space="preserve"> </w:t>
      </w:r>
    </w:p>
  </w:footnote>
  <w:footnote w:id="25">
    <w:p w14:paraId="1032910A"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5">
        <w:r>
          <w:rPr>
            <w:color w:val="1155CC"/>
            <w:sz w:val="20"/>
            <w:szCs w:val="20"/>
            <w:u w:val="single"/>
          </w:rPr>
          <w:t xml:space="preserve">Paks II: Strong positive signal for future nuclear investments in Europe - </w:t>
        </w:r>
        <w:proofErr w:type="spellStart"/>
        <w:r>
          <w:rPr>
            <w:color w:val="1155CC"/>
            <w:sz w:val="20"/>
            <w:szCs w:val="20"/>
            <w:u w:val="single"/>
          </w:rPr>
          <w:t>nucleareurope</w:t>
        </w:r>
        <w:proofErr w:type="spellEnd"/>
      </w:hyperlink>
      <w:r>
        <w:rPr>
          <w:sz w:val="20"/>
          <w:szCs w:val="20"/>
        </w:rPr>
        <w:t xml:space="preserve"> </w:t>
      </w:r>
    </w:p>
  </w:footnote>
  <w:footnote w:id="26">
    <w:p w14:paraId="7EF2F77C"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6">
        <w:r>
          <w:rPr>
            <w:color w:val="1155CC"/>
            <w:sz w:val="20"/>
            <w:szCs w:val="20"/>
            <w:u w:val="single"/>
          </w:rPr>
          <w:t>World Nuclear Performance Report 2023</w:t>
        </w:r>
      </w:hyperlink>
      <w:r>
        <w:rPr>
          <w:sz w:val="20"/>
          <w:szCs w:val="20"/>
        </w:rPr>
        <w:t xml:space="preserve"> </w:t>
      </w:r>
    </w:p>
  </w:footnote>
  <w:footnote w:id="27">
    <w:p w14:paraId="4A0D3B7E"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7">
        <w:r>
          <w:rPr>
            <w:color w:val="1155CC"/>
            <w:sz w:val="20"/>
            <w:szCs w:val="20"/>
            <w:u w:val="single"/>
          </w:rPr>
          <w:t>Home - Paks 2 EN</w:t>
        </w:r>
      </w:hyperlink>
      <w:r>
        <w:rPr>
          <w:sz w:val="20"/>
          <w:szCs w:val="20"/>
        </w:rPr>
        <w:t xml:space="preserve"> </w:t>
      </w:r>
    </w:p>
  </w:footnote>
  <w:footnote w:id="28">
    <w:p w14:paraId="78B03CE4"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8">
        <w:r>
          <w:rPr>
            <w:color w:val="1155CC"/>
            <w:sz w:val="20"/>
            <w:szCs w:val="20"/>
            <w:u w:val="single"/>
          </w:rPr>
          <w:t>Hungarian nuclear project secures final Brussels approval</w:t>
        </w:r>
      </w:hyperlink>
      <w:r>
        <w:rPr>
          <w:sz w:val="20"/>
          <w:szCs w:val="20"/>
        </w:rPr>
        <w:t xml:space="preserve"> </w:t>
      </w:r>
    </w:p>
  </w:footnote>
  <w:footnote w:id="29">
    <w:p w14:paraId="1C1CFB27" w14:textId="77777777" w:rsidR="00BE0E57" w:rsidRDefault="00000000">
      <w:pPr>
        <w:spacing w:after="0" w:line="240" w:lineRule="auto"/>
        <w:rPr>
          <w:sz w:val="20"/>
          <w:szCs w:val="20"/>
        </w:rPr>
      </w:pPr>
      <w:r>
        <w:rPr>
          <w:rStyle w:val="FootnoteReference"/>
        </w:rPr>
        <w:footnoteRef/>
      </w:r>
      <w:r>
        <w:rPr>
          <w:sz w:val="20"/>
          <w:szCs w:val="20"/>
        </w:rPr>
        <w:t xml:space="preserve"> </w:t>
      </w:r>
      <w:hyperlink r:id="rId29">
        <w:r>
          <w:rPr>
            <w:color w:val="1155CC"/>
            <w:sz w:val="20"/>
            <w:szCs w:val="20"/>
            <w:u w:val="single"/>
          </w:rPr>
          <w:t>Telex: European Commission gives green light to Paks II contract modification</w:t>
        </w:r>
      </w:hyperlink>
      <w:r>
        <w:rPr>
          <w:sz w:val="20"/>
          <w:szCs w:val="20"/>
        </w:rPr>
        <w:t xml:space="preserve"> </w:t>
      </w:r>
    </w:p>
  </w:footnote>
  <w:footnote w:id="30">
    <w:p w14:paraId="1EDBD89E"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0">
        <w:r>
          <w:rPr>
            <w:color w:val="1155CC"/>
            <w:sz w:val="20"/>
            <w:szCs w:val="20"/>
            <w:u w:val="single"/>
          </w:rPr>
          <w:t>Hungary to allow nuclear plant to exceed Danube water temperature limitation</w:t>
        </w:r>
      </w:hyperlink>
      <w:r>
        <w:rPr>
          <w:sz w:val="20"/>
          <w:szCs w:val="20"/>
        </w:rPr>
        <w:t xml:space="preserve"> </w:t>
      </w:r>
    </w:p>
  </w:footnote>
  <w:footnote w:id="31">
    <w:p w14:paraId="7311E9E1"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1">
        <w:r>
          <w:rPr>
            <w:color w:val="1155CC"/>
            <w:sz w:val="20"/>
            <w:szCs w:val="20"/>
            <w:u w:val="single"/>
          </w:rPr>
          <w:t>Paks II. Nuclear Plant Construction Works Hit Key Milestone</w:t>
        </w:r>
      </w:hyperlink>
      <w:r>
        <w:rPr>
          <w:sz w:val="20"/>
          <w:szCs w:val="20"/>
        </w:rPr>
        <w:t xml:space="preserve"> </w:t>
      </w:r>
    </w:p>
  </w:footnote>
  <w:footnote w:id="32">
    <w:p w14:paraId="11465DB1"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2">
        <w:r>
          <w:rPr>
            <w:color w:val="1155CC"/>
            <w:sz w:val="20"/>
            <w:szCs w:val="20"/>
            <w:u w:val="single"/>
          </w:rPr>
          <w:t>Paks II targets first concrete in 2024, core melt trap set to be shipped</w:t>
        </w:r>
      </w:hyperlink>
      <w:r>
        <w:rPr>
          <w:sz w:val="20"/>
          <w:szCs w:val="20"/>
        </w:rPr>
        <w:t xml:space="preserve"> </w:t>
      </w:r>
    </w:p>
  </w:footnote>
  <w:footnote w:id="33">
    <w:p w14:paraId="53851A01"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3">
        <w:r>
          <w:rPr>
            <w:color w:val="1155CC"/>
            <w:sz w:val="20"/>
            <w:szCs w:val="20"/>
            <w:u w:val="single"/>
          </w:rPr>
          <w:t>Construction schedule agreed for Paks II in Hungary</w:t>
        </w:r>
      </w:hyperlink>
      <w:r>
        <w:rPr>
          <w:sz w:val="20"/>
          <w:szCs w:val="20"/>
        </w:rPr>
        <w:t xml:space="preserve"> </w:t>
      </w:r>
    </w:p>
  </w:footnote>
  <w:footnote w:id="34">
    <w:p w14:paraId="344375E0"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4">
        <w:r>
          <w:rPr>
            <w:color w:val="1155CC"/>
            <w:sz w:val="20"/>
            <w:szCs w:val="20"/>
            <w:u w:val="single"/>
          </w:rPr>
          <w:t>Hungarian Gas Storage Ltd.</w:t>
        </w:r>
      </w:hyperlink>
      <w:r>
        <w:rPr>
          <w:sz w:val="20"/>
          <w:szCs w:val="20"/>
        </w:rPr>
        <w:t xml:space="preserve"> </w:t>
      </w:r>
    </w:p>
  </w:footnote>
  <w:footnote w:id="35">
    <w:p w14:paraId="1B0DE03A"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5">
        <w:r>
          <w:rPr>
            <w:color w:val="1155CC"/>
            <w:sz w:val="20"/>
            <w:szCs w:val="20"/>
            <w:u w:val="single"/>
          </w:rPr>
          <w:t>Hungary Gas Reserves Above Level Expected by EU - Budapest Business Journal</w:t>
        </w:r>
      </w:hyperlink>
      <w:r>
        <w:rPr>
          <w:sz w:val="20"/>
          <w:szCs w:val="20"/>
        </w:rPr>
        <w:t xml:space="preserve"> </w:t>
      </w:r>
    </w:p>
  </w:footnote>
  <w:footnote w:id="36">
    <w:p w14:paraId="7E5FE057"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6">
        <w:r>
          <w:rPr>
            <w:color w:val="1155CC"/>
            <w:sz w:val="20"/>
            <w:szCs w:val="20"/>
            <w:u w:val="single"/>
          </w:rPr>
          <w:t>HUNGARY’S NATIONAL HYDROGEN STRATEGY</w:t>
        </w:r>
      </w:hyperlink>
      <w:r>
        <w:rPr>
          <w:sz w:val="20"/>
          <w:szCs w:val="20"/>
        </w:rPr>
        <w:t xml:space="preserve"> </w:t>
      </w:r>
    </w:p>
  </w:footnote>
  <w:footnote w:id="37">
    <w:p w14:paraId="3F2E708D"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7">
        <w:proofErr w:type="spellStart"/>
        <w:r>
          <w:rPr>
            <w:color w:val="1155CC"/>
            <w:sz w:val="20"/>
            <w:szCs w:val="20"/>
            <w:u w:val="single"/>
          </w:rPr>
          <w:t>REPowering</w:t>
        </w:r>
        <w:proofErr w:type="spellEnd"/>
        <w:r>
          <w:rPr>
            <w:color w:val="1155CC"/>
            <w:sz w:val="20"/>
            <w:szCs w:val="20"/>
            <w:u w:val="single"/>
          </w:rPr>
          <w:t xml:space="preserve"> the EU with Hydrogen Valleys: Clean Hydrogen Partnership invests EUR 105.4 million for funding 9 Hydrogen Valleys across Europe</w:t>
        </w:r>
      </w:hyperlink>
      <w:r>
        <w:rPr>
          <w:sz w:val="20"/>
          <w:szCs w:val="20"/>
        </w:rPr>
        <w:t xml:space="preserve"> </w:t>
      </w:r>
    </w:p>
  </w:footnote>
  <w:footnote w:id="38">
    <w:p w14:paraId="73A0B04E"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8">
        <w:r>
          <w:rPr>
            <w:color w:val="1155CC"/>
            <w:sz w:val="20"/>
            <w:szCs w:val="20"/>
            <w:u w:val="single"/>
          </w:rPr>
          <w:t>Hungary to open first public hydrogen filling station | trans.info</w:t>
        </w:r>
      </w:hyperlink>
      <w:r>
        <w:rPr>
          <w:sz w:val="20"/>
          <w:szCs w:val="20"/>
        </w:rPr>
        <w:t xml:space="preserve"> </w:t>
      </w:r>
    </w:p>
  </w:footnote>
  <w:footnote w:id="39">
    <w:p w14:paraId="76988D6E" w14:textId="77777777" w:rsidR="00BE0E57" w:rsidRDefault="00000000">
      <w:pPr>
        <w:spacing w:after="0" w:line="240" w:lineRule="auto"/>
        <w:rPr>
          <w:sz w:val="20"/>
          <w:szCs w:val="20"/>
        </w:rPr>
      </w:pPr>
      <w:r>
        <w:rPr>
          <w:rStyle w:val="FootnoteReference"/>
        </w:rPr>
        <w:footnoteRef/>
      </w:r>
      <w:r>
        <w:rPr>
          <w:sz w:val="20"/>
          <w:szCs w:val="20"/>
        </w:rPr>
        <w:t xml:space="preserve"> </w:t>
      </w:r>
      <w:hyperlink r:id="rId39">
        <w:r>
          <w:rPr>
            <w:color w:val="1155CC"/>
            <w:sz w:val="20"/>
            <w:szCs w:val="20"/>
            <w:u w:val="single"/>
          </w:rPr>
          <w:t>Hungary launches first hydrogen bus route in Budapest | TheMayor.EU</w:t>
        </w:r>
      </w:hyperlink>
      <w:r>
        <w:rPr>
          <w:sz w:val="20"/>
          <w:szCs w:val="20"/>
        </w:rPr>
        <w:t xml:space="preserve"> </w:t>
      </w:r>
    </w:p>
  </w:footnote>
  <w:footnote w:id="40">
    <w:p w14:paraId="5576A0C8"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0">
        <w:r>
          <w:rPr>
            <w:color w:val="1155CC"/>
            <w:sz w:val="20"/>
            <w:szCs w:val="20"/>
            <w:u w:val="single"/>
          </w:rPr>
          <w:t>MINISTER: HUNGARY EMBARKS ON NEW ERA IN ENERGY, HYDROGEN ECONOMY</w:t>
        </w:r>
      </w:hyperlink>
      <w:r>
        <w:rPr>
          <w:sz w:val="20"/>
          <w:szCs w:val="20"/>
        </w:rPr>
        <w:t xml:space="preserve"> </w:t>
      </w:r>
    </w:p>
  </w:footnote>
  <w:footnote w:id="41">
    <w:p w14:paraId="4303012E"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1">
        <w:r>
          <w:rPr>
            <w:color w:val="1155CC"/>
            <w:sz w:val="20"/>
            <w:szCs w:val="20"/>
            <w:u w:val="single"/>
          </w:rPr>
          <w:t>National Energy and Climate Plan</w:t>
        </w:r>
      </w:hyperlink>
      <w:r>
        <w:rPr>
          <w:sz w:val="20"/>
          <w:szCs w:val="20"/>
        </w:rPr>
        <w:t xml:space="preserve"> </w:t>
      </w:r>
    </w:p>
  </w:footnote>
  <w:footnote w:id="42">
    <w:p w14:paraId="65512A75"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2">
        <w:r>
          <w:rPr>
            <w:color w:val="1155CC"/>
            <w:sz w:val="20"/>
            <w:szCs w:val="20"/>
            <w:u w:val="single"/>
          </w:rPr>
          <w:t>Hungary - Final updated NECP 2021-2030 (submitted in 2024) - European Commission</w:t>
        </w:r>
      </w:hyperlink>
      <w:r>
        <w:rPr>
          <w:sz w:val="20"/>
          <w:szCs w:val="20"/>
        </w:rPr>
        <w:t xml:space="preserve"> </w:t>
      </w:r>
    </w:p>
  </w:footnote>
  <w:footnote w:id="43">
    <w:p w14:paraId="75D6C828"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3">
        <w:r>
          <w:rPr>
            <w:color w:val="1155CC"/>
            <w:sz w:val="20"/>
            <w:szCs w:val="20"/>
            <w:u w:val="single"/>
          </w:rPr>
          <w:t>State of the Energy Union 2023 Report</w:t>
        </w:r>
      </w:hyperlink>
      <w:r>
        <w:rPr>
          <w:sz w:val="20"/>
          <w:szCs w:val="20"/>
        </w:rPr>
        <w:t xml:space="preserve"> </w:t>
      </w:r>
    </w:p>
  </w:footnote>
  <w:footnote w:id="44">
    <w:p w14:paraId="4BC997D3"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4">
        <w:r>
          <w:rPr>
            <w:color w:val="1155CC"/>
            <w:sz w:val="20"/>
            <w:szCs w:val="20"/>
            <w:u w:val="single"/>
          </w:rPr>
          <w:t>HUNGARY'S NATIONAL ENERGY EFFICIENCY ACTION PLAN (approved by the Government on 13 February 2008)</w:t>
        </w:r>
      </w:hyperlink>
      <w:r>
        <w:rPr>
          <w:sz w:val="20"/>
          <w:szCs w:val="20"/>
        </w:rPr>
        <w:t xml:space="preserve"> </w:t>
      </w:r>
    </w:p>
  </w:footnote>
  <w:footnote w:id="45">
    <w:p w14:paraId="0FD245B5"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5">
        <w:r>
          <w:rPr>
            <w:color w:val="1155CC"/>
            <w:sz w:val="20"/>
            <w:szCs w:val="20"/>
            <w:u w:val="single"/>
          </w:rPr>
          <w:t>Hungary - Final updated NECP 2021-2030 (submitted in 2024) - European Commission</w:t>
        </w:r>
      </w:hyperlink>
      <w:r>
        <w:rPr>
          <w:sz w:val="20"/>
          <w:szCs w:val="20"/>
        </w:rPr>
        <w:t xml:space="preserve"> </w:t>
      </w:r>
    </w:p>
  </w:footnote>
  <w:footnote w:id="46">
    <w:p w14:paraId="10C8F23F"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6">
        <w:r>
          <w:rPr>
            <w:color w:val="1155CC"/>
            <w:sz w:val="20"/>
            <w:szCs w:val="20"/>
            <w:u w:val="single"/>
          </w:rPr>
          <w:t>Energy Ministry submits revised national energy and climate plan</w:t>
        </w:r>
      </w:hyperlink>
      <w:r>
        <w:rPr>
          <w:sz w:val="20"/>
          <w:szCs w:val="20"/>
        </w:rPr>
        <w:t xml:space="preserve"> </w:t>
      </w:r>
    </w:p>
  </w:footnote>
  <w:footnote w:id="47">
    <w:p w14:paraId="080204ED"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7">
        <w:r>
          <w:rPr>
            <w:color w:val="1155CC"/>
            <w:sz w:val="20"/>
            <w:szCs w:val="20"/>
            <w:u w:val="single"/>
          </w:rPr>
          <w:t>Energy ministry unveils Hungary's new National Energy and Climate Plan</w:t>
        </w:r>
      </w:hyperlink>
      <w:r>
        <w:rPr>
          <w:sz w:val="20"/>
          <w:szCs w:val="20"/>
        </w:rPr>
        <w:t xml:space="preserve"> </w:t>
      </w:r>
    </w:p>
  </w:footnote>
  <w:footnote w:id="48">
    <w:p w14:paraId="5083A7C0"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8">
        <w:r>
          <w:rPr>
            <w:color w:val="1155CC"/>
            <w:sz w:val="20"/>
            <w:szCs w:val="20"/>
            <w:u w:val="single"/>
          </w:rPr>
          <w:t>Poland and Hungary become key new drivers of Europe's solar growth | Reuters</w:t>
        </w:r>
      </w:hyperlink>
      <w:r>
        <w:rPr>
          <w:sz w:val="20"/>
          <w:szCs w:val="20"/>
        </w:rPr>
        <w:t xml:space="preserve"> </w:t>
      </w:r>
    </w:p>
  </w:footnote>
  <w:footnote w:id="49">
    <w:p w14:paraId="65C75EAB" w14:textId="77777777" w:rsidR="00BE0E57" w:rsidRDefault="00000000">
      <w:pPr>
        <w:spacing w:after="0" w:line="240" w:lineRule="auto"/>
        <w:rPr>
          <w:sz w:val="20"/>
          <w:szCs w:val="20"/>
        </w:rPr>
      </w:pPr>
      <w:r>
        <w:rPr>
          <w:rStyle w:val="FootnoteReference"/>
        </w:rPr>
        <w:footnoteRef/>
      </w:r>
      <w:r>
        <w:rPr>
          <w:sz w:val="20"/>
          <w:szCs w:val="20"/>
        </w:rPr>
        <w:t xml:space="preserve"> </w:t>
      </w:r>
      <w:hyperlink r:id="rId49">
        <w:r>
          <w:rPr>
            <w:color w:val="1155CC"/>
            <w:sz w:val="20"/>
            <w:szCs w:val="20"/>
            <w:u w:val="single"/>
          </w:rPr>
          <w:t>COMMISSION RECOMMENDATION of 18.12.2023 on the draft updated integrated national energy and climate plan of Hungary covering the period 2021</w:t>
        </w:r>
      </w:hyperlink>
      <w:r>
        <w:rPr>
          <w:sz w:val="20"/>
          <w:szCs w:val="20"/>
        </w:rPr>
        <w:t xml:space="preserve"> </w:t>
      </w:r>
    </w:p>
  </w:footnote>
  <w:footnote w:id="50">
    <w:p w14:paraId="2C87B1DF"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0">
        <w:r>
          <w:rPr>
            <w:color w:val="1155CC"/>
            <w:sz w:val="20"/>
            <w:szCs w:val="20"/>
            <w:u w:val="single"/>
          </w:rPr>
          <w:t>National plan for increasing the number of nearly zero-energy buildings</w:t>
        </w:r>
      </w:hyperlink>
      <w:r>
        <w:rPr>
          <w:sz w:val="20"/>
          <w:szCs w:val="20"/>
        </w:rPr>
        <w:t xml:space="preserve"> </w:t>
      </w:r>
    </w:p>
  </w:footnote>
  <w:footnote w:id="51">
    <w:p w14:paraId="6CBF7321"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1">
        <w:r>
          <w:rPr>
            <w:color w:val="1155CC"/>
            <w:sz w:val="20"/>
            <w:szCs w:val="20"/>
            <w:u w:val="single"/>
          </w:rPr>
          <w:t xml:space="preserve">Pilot </w:t>
        </w:r>
        <w:proofErr w:type="spellStart"/>
        <w:r>
          <w:rPr>
            <w:color w:val="1155CC"/>
            <w:sz w:val="20"/>
            <w:szCs w:val="20"/>
            <w:u w:val="single"/>
          </w:rPr>
          <w:t>nZEB</w:t>
        </w:r>
        <w:proofErr w:type="spellEnd"/>
        <w:r>
          <w:rPr>
            <w:color w:val="1155CC"/>
            <w:sz w:val="20"/>
            <w:szCs w:val="20"/>
            <w:u w:val="single"/>
          </w:rPr>
          <w:t xml:space="preserve"> investment in Budapest 18th District - Interreg</w:t>
        </w:r>
      </w:hyperlink>
      <w:r>
        <w:rPr>
          <w:sz w:val="20"/>
          <w:szCs w:val="20"/>
        </w:rPr>
        <w:t xml:space="preserve"> </w:t>
      </w:r>
    </w:p>
  </w:footnote>
  <w:footnote w:id="52">
    <w:p w14:paraId="07B09EE5"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2">
        <w:r>
          <w:rPr>
            <w:color w:val="1155CC"/>
            <w:sz w:val="20"/>
            <w:szCs w:val="20"/>
            <w:u w:val="single"/>
          </w:rPr>
          <w:t>Communication material of Jedlik Ányos Plan</w:t>
        </w:r>
      </w:hyperlink>
      <w:r>
        <w:rPr>
          <w:sz w:val="20"/>
          <w:szCs w:val="20"/>
        </w:rPr>
        <w:t xml:space="preserve"> </w:t>
      </w:r>
    </w:p>
  </w:footnote>
  <w:footnote w:id="53">
    <w:p w14:paraId="1DCC6BDE"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3">
        <w:r>
          <w:rPr>
            <w:color w:val="1155CC"/>
            <w:sz w:val="20"/>
            <w:szCs w:val="20"/>
            <w:u w:val="single"/>
          </w:rPr>
          <w:t>Hungary introduces new e-mobility subsidy package - electrive.com</w:t>
        </w:r>
      </w:hyperlink>
      <w:r>
        <w:rPr>
          <w:sz w:val="20"/>
          <w:szCs w:val="20"/>
        </w:rPr>
        <w:t xml:space="preserve"> </w:t>
      </w:r>
    </w:p>
  </w:footnote>
  <w:footnote w:id="54">
    <w:p w14:paraId="4652F1B9"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4">
        <w:r>
          <w:rPr>
            <w:color w:val="1155CC"/>
            <w:sz w:val="20"/>
            <w:szCs w:val="20"/>
            <w:u w:val="single"/>
          </w:rPr>
          <w:t>Hungary adopts national battery strategy - CEENERGYNEWS</w:t>
        </w:r>
      </w:hyperlink>
      <w:r>
        <w:rPr>
          <w:sz w:val="20"/>
          <w:szCs w:val="20"/>
        </w:rPr>
        <w:t xml:space="preserve"> </w:t>
      </w:r>
    </w:p>
  </w:footnote>
  <w:footnote w:id="55">
    <w:p w14:paraId="77102A62"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5">
        <w:r>
          <w:rPr>
            <w:color w:val="1155CC"/>
            <w:sz w:val="20"/>
            <w:szCs w:val="20"/>
            <w:u w:val="single"/>
          </w:rPr>
          <w:t>Ministry for National Economy Sparks Initiative for Families to Purchase EVs</w:t>
        </w:r>
      </w:hyperlink>
      <w:r>
        <w:rPr>
          <w:sz w:val="20"/>
          <w:szCs w:val="20"/>
        </w:rPr>
        <w:t xml:space="preserve"> </w:t>
      </w:r>
    </w:p>
  </w:footnote>
  <w:footnote w:id="56">
    <w:p w14:paraId="4236EC2F"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6">
        <w:r>
          <w:rPr>
            <w:color w:val="1155CC"/>
            <w:sz w:val="20"/>
            <w:szCs w:val="20"/>
            <w:u w:val="single"/>
          </w:rPr>
          <w:t>Hungary Greenhouse Gases: Percentage of Greenhouse Gas Emission: Energy: Transport</w:t>
        </w:r>
      </w:hyperlink>
      <w:r>
        <w:rPr>
          <w:sz w:val="20"/>
          <w:szCs w:val="20"/>
        </w:rPr>
        <w:t xml:space="preserve"> </w:t>
      </w:r>
    </w:p>
  </w:footnote>
  <w:footnote w:id="57">
    <w:p w14:paraId="500FA735"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7">
        <w:r>
          <w:rPr>
            <w:color w:val="1155CC"/>
            <w:sz w:val="20"/>
            <w:szCs w:val="20"/>
            <w:u w:val="single"/>
          </w:rPr>
          <w:t>Fit for 55: Delivering on the proposals - European Commission</w:t>
        </w:r>
      </w:hyperlink>
      <w:r>
        <w:rPr>
          <w:sz w:val="20"/>
          <w:szCs w:val="20"/>
        </w:rPr>
        <w:t xml:space="preserve"> </w:t>
      </w:r>
    </w:p>
  </w:footnote>
  <w:footnote w:id="58">
    <w:p w14:paraId="038E77D2"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8">
        <w:r>
          <w:rPr>
            <w:color w:val="1155CC"/>
            <w:sz w:val="20"/>
            <w:szCs w:val="20"/>
            <w:u w:val="single"/>
          </w:rPr>
          <w:t xml:space="preserve">Communication material: TRANSPORT PLANS IN HUNGARY BASED ON 2030 TARGETS </w:t>
        </w:r>
      </w:hyperlink>
      <w:r>
        <w:rPr>
          <w:sz w:val="20"/>
          <w:szCs w:val="20"/>
        </w:rPr>
        <w:t xml:space="preserve"> </w:t>
      </w:r>
    </w:p>
  </w:footnote>
  <w:footnote w:id="59">
    <w:p w14:paraId="0B97656B" w14:textId="77777777" w:rsidR="00BE0E57" w:rsidRDefault="00000000">
      <w:pPr>
        <w:spacing w:after="0" w:line="240" w:lineRule="auto"/>
        <w:rPr>
          <w:sz w:val="20"/>
          <w:szCs w:val="20"/>
        </w:rPr>
      </w:pPr>
      <w:r>
        <w:rPr>
          <w:rStyle w:val="FootnoteReference"/>
        </w:rPr>
        <w:footnoteRef/>
      </w:r>
      <w:r>
        <w:rPr>
          <w:sz w:val="20"/>
          <w:szCs w:val="20"/>
        </w:rPr>
        <w:t xml:space="preserve"> </w:t>
      </w:r>
      <w:hyperlink r:id="rId59">
        <w:r>
          <w:rPr>
            <w:color w:val="1155CC"/>
            <w:sz w:val="20"/>
            <w:szCs w:val="20"/>
            <w:u w:val="single"/>
          </w:rPr>
          <w:t>National Battery Industry Strategy 2030</w:t>
        </w:r>
      </w:hyperlink>
      <w:r>
        <w:rPr>
          <w:sz w:val="20"/>
          <w:szCs w:val="20"/>
        </w:rPr>
        <w:t xml:space="preserve"> </w:t>
      </w:r>
    </w:p>
  </w:footnote>
  <w:footnote w:id="60">
    <w:p w14:paraId="4A1A8134"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0">
        <w:r>
          <w:rPr>
            <w:color w:val="1155CC"/>
            <w:sz w:val="20"/>
            <w:szCs w:val="20"/>
            <w:u w:val="single"/>
          </w:rPr>
          <w:t>HUNGARY’S NATIONAL HYDROGEN STRATEGY</w:t>
        </w:r>
      </w:hyperlink>
      <w:r>
        <w:rPr>
          <w:sz w:val="20"/>
          <w:szCs w:val="20"/>
        </w:rPr>
        <w:t xml:space="preserve"> </w:t>
      </w:r>
    </w:p>
  </w:footnote>
  <w:footnote w:id="61">
    <w:p w14:paraId="75DB7EBB"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1">
        <w:r>
          <w:rPr>
            <w:color w:val="1155CC"/>
            <w:sz w:val="20"/>
            <w:szCs w:val="20"/>
            <w:u w:val="single"/>
          </w:rPr>
          <w:t>Hungary's National Report 2018</w:t>
        </w:r>
      </w:hyperlink>
      <w:r>
        <w:rPr>
          <w:sz w:val="20"/>
          <w:szCs w:val="20"/>
        </w:rPr>
        <w:t xml:space="preserve"> </w:t>
      </w:r>
    </w:p>
  </w:footnote>
  <w:footnote w:id="62">
    <w:p w14:paraId="0099B9C8"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2">
        <w:r>
          <w:rPr>
            <w:color w:val="1155CC"/>
            <w:sz w:val="20"/>
            <w:szCs w:val="20"/>
            <w:u w:val="single"/>
          </w:rPr>
          <w:t>HUF 2,000 billion in EU Funds to Boost Railway Development</w:t>
        </w:r>
      </w:hyperlink>
      <w:r>
        <w:rPr>
          <w:sz w:val="20"/>
          <w:szCs w:val="20"/>
        </w:rPr>
        <w:t xml:space="preserve"> </w:t>
      </w:r>
    </w:p>
  </w:footnote>
  <w:footnote w:id="63">
    <w:p w14:paraId="2478EC39"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3">
        <w:r>
          <w:rPr>
            <w:color w:val="1155CC"/>
            <w:sz w:val="20"/>
            <w:szCs w:val="20"/>
            <w:u w:val="single"/>
          </w:rPr>
          <w:t>HUF 2,000 billion in EU Funds to Boost Railway Development</w:t>
        </w:r>
      </w:hyperlink>
      <w:r>
        <w:rPr>
          <w:sz w:val="20"/>
          <w:szCs w:val="20"/>
        </w:rPr>
        <w:t xml:space="preserve"> </w:t>
      </w:r>
    </w:p>
  </w:footnote>
  <w:footnote w:id="64">
    <w:p w14:paraId="4E0B13E2"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4">
        <w:r>
          <w:rPr>
            <w:color w:val="1155CC"/>
            <w:sz w:val="20"/>
            <w:szCs w:val="20"/>
            <w:u w:val="single"/>
          </w:rPr>
          <w:t>Hungary will build third terminal at Budapest Airport</w:t>
        </w:r>
      </w:hyperlink>
      <w:r>
        <w:rPr>
          <w:sz w:val="20"/>
          <w:szCs w:val="20"/>
        </w:rPr>
        <w:t xml:space="preserve"> </w:t>
      </w:r>
    </w:p>
  </w:footnote>
  <w:footnote w:id="65">
    <w:p w14:paraId="1A06ADE4"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5">
        <w:r>
          <w:rPr>
            <w:color w:val="1155CC"/>
            <w:sz w:val="20"/>
            <w:szCs w:val="20"/>
            <w:u w:val="single"/>
          </w:rPr>
          <w:t>Budapest-Bucharest: Breakthrough in High-Speed Rail — New Details and Project Costs</w:t>
        </w:r>
      </w:hyperlink>
      <w:r>
        <w:rPr>
          <w:sz w:val="20"/>
          <w:szCs w:val="20"/>
        </w:rPr>
        <w:t xml:space="preserve"> </w:t>
      </w:r>
    </w:p>
  </w:footnote>
  <w:footnote w:id="66">
    <w:p w14:paraId="0D49CB77"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6">
        <w:r>
          <w:rPr>
            <w:color w:val="1155CC"/>
            <w:sz w:val="20"/>
            <w:szCs w:val="20"/>
            <w:u w:val="single"/>
          </w:rPr>
          <w:t>Hungary's National Report 2018</w:t>
        </w:r>
      </w:hyperlink>
      <w:r>
        <w:rPr>
          <w:sz w:val="20"/>
          <w:szCs w:val="20"/>
        </w:rPr>
        <w:t xml:space="preserve"> </w:t>
      </w:r>
    </w:p>
  </w:footnote>
  <w:footnote w:id="67">
    <w:p w14:paraId="630F3A38"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7">
        <w:r>
          <w:rPr>
            <w:color w:val="1155CC"/>
            <w:sz w:val="20"/>
            <w:szCs w:val="20"/>
            <w:u w:val="single"/>
          </w:rPr>
          <w:t>Hungary's National Report 2018</w:t>
        </w:r>
      </w:hyperlink>
      <w:r>
        <w:rPr>
          <w:sz w:val="20"/>
          <w:szCs w:val="20"/>
        </w:rPr>
        <w:t xml:space="preserve"> </w:t>
      </w:r>
    </w:p>
  </w:footnote>
  <w:footnote w:id="68">
    <w:p w14:paraId="5A3953B4"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8">
        <w:r>
          <w:rPr>
            <w:color w:val="1155CC"/>
            <w:sz w:val="20"/>
            <w:szCs w:val="20"/>
            <w:u w:val="single"/>
          </w:rPr>
          <w:t>C-Roads Hungary</w:t>
        </w:r>
      </w:hyperlink>
      <w:r>
        <w:rPr>
          <w:sz w:val="20"/>
          <w:szCs w:val="20"/>
        </w:rPr>
        <w:t xml:space="preserve"> </w:t>
      </w:r>
    </w:p>
  </w:footnote>
  <w:footnote w:id="69">
    <w:p w14:paraId="644D06AA" w14:textId="77777777" w:rsidR="00BE0E57" w:rsidRDefault="00000000">
      <w:pPr>
        <w:spacing w:after="0" w:line="240" w:lineRule="auto"/>
        <w:rPr>
          <w:sz w:val="20"/>
          <w:szCs w:val="20"/>
        </w:rPr>
      </w:pPr>
      <w:r>
        <w:rPr>
          <w:rStyle w:val="FootnoteReference"/>
        </w:rPr>
        <w:footnoteRef/>
      </w:r>
      <w:r>
        <w:rPr>
          <w:sz w:val="20"/>
          <w:szCs w:val="20"/>
        </w:rPr>
        <w:t xml:space="preserve"> </w:t>
      </w:r>
      <w:hyperlink r:id="rId69">
        <w:r>
          <w:rPr>
            <w:color w:val="1155CC"/>
            <w:sz w:val="20"/>
            <w:szCs w:val="20"/>
            <w:u w:val="single"/>
          </w:rPr>
          <w:t>HUNGARY AT WORLD'S BIGGEST INTELLIGENT TRANSPORT SYSTEMS EVENT FOR FIRST TIME</w:t>
        </w:r>
      </w:hyperlink>
      <w:r>
        <w:rPr>
          <w:sz w:val="20"/>
          <w:szCs w:val="20"/>
        </w:rPr>
        <w:t xml:space="preserve"> </w:t>
      </w:r>
    </w:p>
  </w:footnote>
  <w:footnote w:id="70">
    <w:p w14:paraId="7A05A5A2" w14:textId="77777777" w:rsidR="00BE0E57" w:rsidRDefault="00000000">
      <w:pPr>
        <w:spacing w:after="0" w:line="240" w:lineRule="auto"/>
        <w:rPr>
          <w:sz w:val="20"/>
          <w:szCs w:val="20"/>
        </w:rPr>
      </w:pPr>
      <w:r>
        <w:rPr>
          <w:rStyle w:val="FootnoteReference"/>
        </w:rPr>
        <w:footnoteRef/>
      </w:r>
      <w:r>
        <w:rPr>
          <w:sz w:val="20"/>
          <w:szCs w:val="20"/>
        </w:rPr>
        <w:t xml:space="preserve"> </w:t>
      </w:r>
      <w:hyperlink r:id="rId70">
        <w:r>
          <w:rPr>
            <w:color w:val="1155CC"/>
            <w:sz w:val="20"/>
            <w:szCs w:val="20"/>
            <w:u w:val="single"/>
          </w:rPr>
          <w:t>NATIONAL CYCLING STRATEGY 2030</w:t>
        </w:r>
      </w:hyperlink>
      <w:r>
        <w:rPr>
          <w:sz w:val="20"/>
          <w:szCs w:val="20"/>
        </w:rPr>
        <w:t xml:space="preserve"> </w:t>
      </w:r>
    </w:p>
  </w:footnote>
  <w:footnote w:id="71">
    <w:p w14:paraId="45B03E0C" w14:textId="77777777" w:rsidR="00BE0E57" w:rsidRDefault="00000000">
      <w:pPr>
        <w:spacing w:after="0" w:line="240" w:lineRule="auto"/>
        <w:rPr>
          <w:sz w:val="16"/>
          <w:szCs w:val="16"/>
        </w:rPr>
      </w:pPr>
      <w:r>
        <w:rPr>
          <w:rStyle w:val="FootnoteReference"/>
        </w:rPr>
        <w:footnoteRef/>
      </w:r>
      <w:r>
        <w:rPr>
          <w:sz w:val="20"/>
          <w:szCs w:val="20"/>
        </w:rPr>
        <w:t xml:space="preserve"> </w:t>
      </w:r>
      <w:hyperlink r:id="rId71">
        <w:r>
          <w:rPr>
            <w:color w:val="1155CC"/>
            <w:sz w:val="20"/>
            <w:szCs w:val="20"/>
            <w:u w:val="single"/>
          </w:rPr>
          <w:t>National Battery Industry Strategy 2030</w:t>
        </w:r>
      </w:hyperlink>
      <w:r>
        <w:rPr>
          <w:sz w:val="20"/>
          <w:szCs w:val="20"/>
        </w:rPr>
        <w:t xml:space="preserve"> </w:t>
      </w:r>
    </w:p>
  </w:footnote>
  <w:footnote w:id="72">
    <w:p w14:paraId="1549387D" w14:textId="77777777" w:rsidR="00BE0E57" w:rsidRDefault="00000000">
      <w:pPr>
        <w:spacing w:after="0" w:line="240" w:lineRule="auto"/>
        <w:rPr>
          <w:sz w:val="20"/>
          <w:szCs w:val="20"/>
        </w:rPr>
      </w:pPr>
      <w:r>
        <w:rPr>
          <w:rStyle w:val="FootnoteReference"/>
        </w:rPr>
        <w:footnoteRef/>
      </w:r>
      <w:r>
        <w:rPr>
          <w:sz w:val="20"/>
          <w:szCs w:val="20"/>
        </w:rPr>
        <w:t xml:space="preserve"> </w:t>
      </w:r>
      <w:hyperlink r:id="rId72">
        <w:r>
          <w:rPr>
            <w:color w:val="1155CC"/>
            <w:sz w:val="20"/>
            <w:szCs w:val="20"/>
            <w:u w:val="single"/>
          </w:rPr>
          <w:t>National Battery Industry Strategy 2030</w:t>
        </w:r>
      </w:hyperlink>
      <w:r>
        <w:rPr>
          <w:sz w:val="20"/>
          <w:szCs w:val="20"/>
        </w:rPr>
        <w:t xml:space="preserve"> </w:t>
      </w:r>
    </w:p>
  </w:footnote>
  <w:footnote w:id="73">
    <w:p w14:paraId="3508DCFE" w14:textId="77777777" w:rsidR="00BE0E57" w:rsidRDefault="00000000">
      <w:pPr>
        <w:spacing w:after="0" w:line="240" w:lineRule="auto"/>
        <w:rPr>
          <w:sz w:val="20"/>
          <w:szCs w:val="20"/>
        </w:rPr>
      </w:pPr>
      <w:r>
        <w:rPr>
          <w:rStyle w:val="FootnoteReference"/>
        </w:rPr>
        <w:footnoteRef/>
      </w:r>
      <w:r>
        <w:rPr>
          <w:sz w:val="20"/>
          <w:szCs w:val="20"/>
        </w:rPr>
        <w:t xml:space="preserve"> </w:t>
      </w:r>
      <w:hyperlink r:id="rId73">
        <w:r>
          <w:rPr>
            <w:color w:val="1155CC"/>
            <w:sz w:val="20"/>
            <w:szCs w:val="20"/>
            <w:u w:val="single"/>
          </w:rPr>
          <w:t xml:space="preserve">Az </w:t>
        </w:r>
        <w:proofErr w:type="spellStart"/>
        <w:r>
          <w:rPr>
            <w:color w:val="1155CC"/>
            <w:sz w:val="20"/>
            <w:szCs w:val="20"/>
            <w:u w:val="single"/>
          </w:rPr>
          <w:t>elektromobilitás</w:t>
        </w:r>
        <w:proofErr w:type="spellEnd"/>
        <w:r>
          <w:rPr>
            <w:color w:val="1155CC"/>
            <w:sz w:val="20"/>
            <w:szCs w:val="20"/>
            <w:u w:val="single"/>
          </w:rPr>
          <w:t xml:space="preserve"> </w:t>
        </w:r>
        <w:proofErr w:type="spellStart"/>
        <w:r>
          <w:rPr>
            <w:color w:val="1155CC"/>
            <w:sz w:val="20"/>
            <w:szCs w:val="20"/>
            <w:u w:val="single"/>
          </w:rPr>
          <w:t>gyorsabb</w:t>
        </w:r>
        <w:proofErr w:type="spellEnd"/>
        <w:r>
          <w:rPr>
            <w:color w:val="1155CC"/>
            <w:sz w:val="20"/>
            <w:szCs w:val="20"/>
            <w:u w:val="single"/>
          </w:rPr>
          <w:t xml:space="preserve"> </w:t>
        </w:r>
        <w:proofErr w:type="spellStart"/>
        <w:r>
          <w:rPr>
            <w:color w:val="1155CC"/>
            <w:sz w:val="20"/>
            <w:szCs w:val="20"/>
            <w:u w:val="single"/>
          </w:rPr>
          <w:t>terjedését</w:t>
        </w:r>
        <w:proofErr w:type="spellEnd"/>
        <w:r>
          <w:rPr>
            <w:color w:val="1155CC"/>
            <w:sz w:val="20"/>
            <w:szCs w:val="20"/>
            <w:u w:val="single"/>
          </w:rPr>
          <w:t xml:space="preserve"> </w:t>
        </w:r>
        <w:proofErr w:type="spellStart"/>
        <w:r>
          <w:rPr>
            <w:color w:val="1155CC"/>
            <w:sz w:val="20"/>
            <w:szCs w:val="20"/>
            <w:u w:val="single"/>
          </w:rPr>
          <w:t>szolgálja</w:t>
        </w:r>
        <w:proofErr w:type="spellEnd"/>
        <w:r>
          <w:rPr>
            <w:color w:val="1155CC"/>
            <w:sz w:val="20"/>
            <w:szCs w:val="20"/>
            <w:u w:val="single"/>
          </w:rPr>
          <w:t xml:space="preserve"> a Jedlik Ányos Terv 2.0</w:t>
        </w:r>
      </w:hyperlink>
      <w:r>
        <w:rPr>
          <w:sz w:val="20"/>
          <w:szCs w:val="20"/>
        </w:rPr>
        <w:t xml:space="preserve"> </w:t>
      </w:r>
    </w:p>
  </w:footnote>
  <w:footnote w:id="74">
    <w:p w14:paraId="3012BDFD" w14:textId="77777777" w:rsidR="00BE0E57" w:rsidRDefault="00000000">
      <w:pPr>
        <w:spacing w:after="0" w:line="240" w:lineRule="auto"/>
        <w:rPr>
          <w:sz w:val="20"/>
          <w:szCs w:val="20"/>
        </w:rPr>
      </w:pPr>
      <w:r>
        <w:rPr>
          <w:rStyle w:val="FootnoteReference"/>
        </w:rPr>
        <w:footnoteRef/>
      </w:r>
      <w:r>
        <w:rPr>
          <w:sz w:val="20"/>
          <w:szCs w:val="20"/>
        </w:rPr>
        <w:t xml:space="preserve"> </w:t>
      </w:r>
      <w:hyperlink r:id="rId74">
        <w:r>
          <w:rPr>
            <w:color w:val="1155CC"/>
            <w:sz w:val="20"/>
            <w:szCs w:val="20"/>
            <w:u w:val="single"/>
          </w:rPr>
          <w:t>Communication material of Jedlik Ányos Plan</w:t>
        </w:r>
      </w:hyperlink>
      <w:r>
        <w:rPr>
          <w:sz w:val="20"/>
          <w:szCs w:val="20"/>
        </w:rPr>
        <w:t xml:space="preserve"> </w:t>
      </w:r>
    </w:p>
  </w:footnote>
  <w:footnote w:id="75">
    <w:p w14:paraId="5A0F51D9" w14:textId="77777777" w:rsidR="00BE0E57" w:rsidRDefault="00000000">
      <w:pPr>
        <w:spacing w:after="0" w:line="240" w:lineRule="auto"/>
        <w:rPr>
          <w:sz w:val="20"/>
          <w:szCs w:val="20"/>
        </w:rPr>
      </w:pPr>
      <w:r>
        <w:rPr>
          <w:rStyle w:val="FootnoteReference"/>
        </w:rPr>
        <w:footnoteRef/>
      </w:r>
      <w:r>
        <w:rPr>
          <w:sz w:val="20"/>
          <w:szCs w:val="20"/>
        </w:rPr>
        <w:t xml:space="preserve"> </w:t>
      </w:r>
      <w:hyperlink r:id="rId75">
        <w:r>
          <w:rPr>
            <w:color w:val="1155CC"/>
            <w:sz w:val="20"/>
            <w:szCs w:val="20"/>
            <w:u w:val="single"/>
          </w:rPr>
          <w:t>Hungary introduces new e-mobility subsidy package - electrive.com</w:t>
        </w:r>
      </w:hyperlink>
      <w:r>
        <w:rPr>
          <w:sz w:val="20"/>
          <w:szCs w:val="20"/>
        </w:rPr>
        <w:t xml:space="preserve"> </w:t>
      </w:r>
    </w:p>
  </w:footnote>
  <w:footnote w:id="76">
    <w:p w14:paraId="18C3E1DA" w14:textId="77777777" w:rsidR="00BE0E57" w:rsidRDefault="00000000">
      <w:pPr>
        <w:spacing w:after="0" w:line="240" w:lineRule="auto"/>
        <w:rPr>
          <w:sz w:val="20"/>
          <w:szCs w:val="20"/>
        </w:rPr>
      </w:pPr>
      <w:r>
        <w:rPr>
          <w:rStyle w:val="FootnoteReference"/>
        </w:rPr>
        <w:footnoteRef/>
      </w:r>
      <w:r>
        <w:rPr>
          <w:sz w:val="20"/>
          <w:szCs w:val="20"/>
        </w:rPr>
        <w:t xml:space="preserve"> </w:t>
      </w:r>
      <w:hyperlink r:id="rId76">
        <w:r>
          <w:rPr>
            <w:color w:val="1155CC"/>
            <w:sz w:val="20"/>
            <w:szCs w:val="20"/>
            <w:u w:val="single"/>
          </w:rPr>
          <w:t>Hungary adopts national battery strategy - CEENERGYNEWS</w:t>
        </w:r>
      </w:hyperlink>
      <w:r>
        <w:rPr>
          <w:sz w:val="20"/>
          <w:szCs w:val="20"/>
        </w:rPr>
        <w:t xml:space="preserve"> </w:t>
      </w:r>
    </w:p>
  </w:footnote>
  <w:footnote w:id="77">
    <w:p w14:paraId="2DBC30E1" w14:textId="77777777" w:rsidR="00BE0E57" w:rsidRDefault="00000000">
      <w:pPr>
        <w:spacing w:after="0" w:line="240" w:lineRule="auto"/>
        <w:rPr>
          <w:sz w:val="20"/>
          <w:szCs w:val="20"/>
        </w:rPr>
      </w:pPr>
      <w:r>
        <w:rPr>
          <w:rStyle w:val="FootnoteReference"/>
        </w:rPr>
        <w:footnoteRef/>
      </w:r>
      <w:r>
        <w:rPr>
          <w:sz w:val="20"/>
          <w:szCs w:val="20"/>
        </w:rPr>
        <w:t xml:space="preserve"> </w:t>
      </w:r>
      <w:hyperlink r:id="rId77">
        <w:r>
          <w:rPr>
            <w:color w:val="1155CC"/>
            <w:sz w:val="20"/>
            <w:szCs w:val="20"/>
            <w:u w:val="single"/>
          </w:rPr>
          <w:t>Ministry for National Economy Sparks Initiative for Families to Purchase EVs</w:t>
        </w:r>
      </w:hyperlink>
      <w:r>
        <w:rPr>
          <w:sz w:val="20"/>
          <w:szCs w:val="20"/>
        </w:rPr>
        <w:t xml:space="preserve"> </w:t>
      </w:r>
    </w:p>
  </w:footnote>
  <w:footnote w:id="78">
    <w:p w14:paraId="27ABE28F" w14:textId="77777777" w:rsidR="00BE0E57" w:rsidRDefault="00000000">
      <w:pPr>
        <w:spacing w:after="0" w:line="240" w:lineRule="auto"/>
        <w:rPr>
          <w:sz w:val="20"/>
          <w:szCs w:val="20"/>
        </w:rPr>
      </w:pPr>
      <w:r>
        <w:rPr>
          <w:rStyle w:val="FootnoteReference"/>
        </w:rPr>
        <w:footnoteRef/>
      </w:r>
      <w:r>
        <w:rPr>
          <w:sz w:val="20"/>
          <w:szCs w:val="20"/>
        </w:rPr>
        <w:t xml:space="preserve"> There is no document available yet. </w:t>
      </w:r>
    </w:p>
  </w:footnote>
  <w:footnote w:id="79">
    <w:p w14:paraId="081F51FB" w14:textId="77777777" w:rsidR="00BE0E57" w:rsidRDefault="00000000">
      <w:pPr>
        <w:spacing w:after="0" w:line="240" w:lineRule="auto"/>
        <w:rPr>
          <w:sz w:val="20"/>
          <w:szCs w:val="20"/>
        </w:rPr>
      </w:pPr>
      <w:r>
        <w:rPr>
          <w:rStyle w:val="FootnoteReference"/>
        </w:rPr>
        <w:footnoteRef/>
      </w:r>
      <w:r>
        <w:rPr>
          <w:sz w:val="20"/>
          <w:szCs w:val="20"/>
        </w:rPr>
        <w:t xml:space="preserve"> </w:t>
      </w:r>
      <w:hyperlink r:id="rId78">
        <w:r>
          <w:rPr>
            <w:color w:val="1155CC"/>
            <w:sz w:val="20"/>
            <w:szCs w:val="20"/>
            <w:u w:val="single"/>
          </w:rPr>
          <w:t>New Transport Action Plan to Facilitate Green Transition</w:t>
        </w:r>
      </w:hyperlink>
      <w:r>
        <w:rPr>
          <w:sz w:val="20"/>
          <w:szCs w:val="20"/>
        </w:rPr>
        <w:t xml:space="preserve"> </w:t>
      </w:r>
    </w:p>
  </w:footnote>
  <w:footnote w:id="80">
    <w:p w14:paraId="3498CF58" w14:textId="77777777" w:rsidR="00BE0E57" w:rsidRDefault="00000000">
      <w:pPr>
        <w:spacing w:after="0" w:line="240" w:lineRule="auto"/>
        <w:rPr>
          <w:sz w:val="20"/>
          <w:szCs w:val="20"/>
        </w:rPr>
      </w:pPr>
      <w:r>
        <w:rPr>
          <w:rStyle w:val="FootnoteReference"/>
        </w:rPr>
        <w:footnoteRef/>
      </w:r>
      <w:r>
        <w:rPr>
          <w:sz w:val="20"/>
          <w:szCs w:val="20"/>
        </w:rPr>
        <w:t xml:space="preserve"> </w:t>
      </w:r>
      <w:hyperlink r:id="rId79">
        <w:r>
          <w:rPr>
            <w:color w:val="1155CC"/>
            <w:sz w:val="20"/>
            <w:szCs w:val="20"/>
            <w:u w:val="single"/>
          </w:rPr>
          <w:t>Hungary Report on the Decarbonisation of Transport</w:t>
        </w:r>
      </w:hyperlink>
      <w:r>
        <w:rPr>
          <w:sz w:val="20"/>
          <w:szCs w:val="20"/>
        </w:rPr>
        <w:t xml:space="preserve"> </w:t>
      </w:r>
    </w:p>
  </w:footnote>
  <w:footnote w:id="81">
    <w:p w14:paraId="65572F8B" w14:textId="77777777" w:rsidR="00BE0E57" w:rsidRDefault="00000000">
      <w:pPr>
        <w:spacing w:after="0" w:line="240" w:lineRule="auto"/>
        <w:rPr>
          <w:sz w:val="20"/>
          <w:szCs w:val="20"/>
        </w:rPr>
      </w:pPr>
      <w:r>
        <w:rPr>
          <w:rStyle w:val="FootnoteReference"/>
        </w:rPr>
        <w:footnoteRef/>
      </w:r>
      <w:r>
        <w:rPr>
          <w:sz w:val="20"/>
          <w:szCs w:val="20"/>
        </w:rPr>
        <w:t xml:space="preserve"> </w:t>
      </w:r>
      <w:hyperlink r:id="rId80">
        <w:r>
          <w:rPr>
            <w:color w:val="1155CC"/>
            <w:sz w:val="20"/>
            <w:szCs w:val="20"/>
            <w:u w:val="single"/>
          </w:rPr>
          <w:t>Hungary: Road Safety Country Profile, 2021</w:t>
        </w:r>
      </w:hyperlink>
      <w:r>
        <w:rPr>
          <w:sz w:val="20"/>
          <w:szCs w:val="20"/>
        </w:rPr>
        <w:t xml:space="preserve"> </w:t>
      </w:r>
    </w:p>
  </w:footnote>
  <w:footnote w:id="82">
    <w:p w14:paraId="5CC7D9C3" w14:textId="77777777" w:rsidR="00BE0E57" w:rsidRDefault="00000000">
      <w:pPr>
        <w:spacing w:after="0" w:line="240" w:lineRule="auto"/>
        <w:rPr>
          <w:sz w:val="20"/>
          <w:szCs w:val="20"/>
        </w:rPr>
      </w:pPr>
      <w:r>
        <w:rPr>
          <w:rStyle w:val="FootnoteReference"/>
        </w:rPr>
        <w:footnoteRef/>
      </w:r>
      <w:r>
        <w:rPr>
          <w:sz w:val="20"/>
          <w:szCs w:val="20"/>
        </w:rPr>
        <w:t xml:space="preserve"> Not state backed, it is endorsed by Netherlands </w:t>
      </w:r>
    </w:p>
  </w:footnote>
  <w:footnote w:id="83">
    <w:p w14:paraId="79F9E7C0" w14:textId="77777777" w:rsidR="00BE0E57" w:rsidRDefault="00000000">
      <w:pPr>
        <w:spacing w:after="0" w:line="240" w:lineRule="auto"/>
        <w:rPr>
          <w:sz w:val="20"/>
          <w:szCs w:val="20"/>
        </w:rPr>
      </w:pPr>
      <w:r>
        <w:rPr>
          <w:rStyle w:val="FootnoteReference"/>
        </w:rPr>
        <w:footnoteRef/>
      </w:r>
      <w:r>
        <w:rPr>
          <w:sz w:val="20"/>
          <w:szCs w:val="20"/>
        </w:rPr>
        <w:t xml:space="preserve"> </w:t>
      </w:r>
      <w:hyperlink r:id="rId81">
        <w:r>
          <w:rPr>
            <w:color w:val="1155CC"/>
            <w:sz w:val="20"/>
            <w:szCs w:val="20"/>
            <w:u w:val="single"/>
          </w:rPr>
          <w:t>Smart and sustainable mobility market in Hungary</w:t>
        </w:r>
      </w:hyperlink>
      <w:r>
        <w:rPr>
          <w:sz w:val="20"/>
          <w:szCs w:val="20"/>
        </w:rPr>
        <w:t xml:space="preserve"> </w:t>
      </w:r>
    </w:p>
  </w:footnote>
  <w:footnote w:id="84">
    <w:p w14:paraId="033CAFC2" w14:textId="77777777" w:rsidR="00BE0E57" w:rsidRDefault="00000000">
      <w:pPr>
        <w:spacing w:after="0" w:line="240" w:lineRule="auto"/>
        <w:rPr>
          <w:sz w:val="20"/>
          <w:szCs w:val="20"/>
        </w:rPr>
      </w:pPr>
      <w:r>
        <w:rPr>
          <w:rStyle w:val="FootnoteReference"/>
        </w:rPr>
        <w:footnoteRef/>
      </w:r>
      <w:r>
        <w:rPr>
          <w:sz w:val="20"/>
          <w:szCs w:val="20"/>
        </w:rPr>
        <w:t xml:space="preserve"> </w:t>
      </w:r>
      <w:hyperlink r:id="rId82">
        <w:r>
          <w:rPr>
            <w:color w:val="1155CC"/>
            <w:sz w:val="20"/>
            <w:szCs w:val="20"/>
            <w:u w:val="single"/>
          </w:rPr>
          <w:t xml:space="preserve">Fostering the Regeneration of Brownfield Areas in Hungary </w:t>
        </w:r>
      </w:hyperlink>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B8E11" w14:textId="77777777" w:rsidR="00BE0E57"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Policy-making context in two national sectors [</w:t>
    </w:r>
    <w:r>
      <w:t>Hungary</w:t>
    </w:r>
    <w:r>
      <w:rPr>
        <w:color w:val="000000"/>
      </w:rPr>
      <w:t>]</w:t>
    </w:r>
    <w:r>
      <w:rPr>
        <w:color w:val="000000"/>
      </w:rPr>
      <w:tab/>
    </w:r>
    <w:r>
      <w:rPr>
        <w:color w:val="000000"/>
      </w:rPr>
      <w:tab/>
      <w:t>FITTER-EU</w:t>
    </w:r>
  </w:p>
  <w:p w14:paraId="5C65E4C9" w14:textId="77777777" w:rsidR="00BE0E57" w:rsidRDefault="00BE0E5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C7987"/>
    <w:multiLevelType w:val="multilevel"/>
    <w:tmpl w:val="F66E98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E4C6680"/>
    <w:multiLevelType w:val="multilevel"/>
    <w:tmpl w:val="25D269A4"/>
    <w:lvl w:ilvl="0">
      <w:start w:val="1"/>
      <w:numFmt w:val="decimal"/>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115857"/>
    <w:multiLevelType w:val="multilevel"/>
    <w:tmpl w:val="9A483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3272BA7"/>
    <w:multiLevelType w:val="multilevel"/>
    <w:tmpl w:val="C84E0E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pStyle w:val="Stile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90544DE"/>
    <w:multiLevelType w:val="multilevel"/>
    <w:tmpl w:val="5FFCD5AA"/>
    <w:lvl w:ilvl="0">
      <w:start w:val="1"/>
      <w:numFmt w:val="decimal"/>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0C468C"/>
    <w:multiLevelType w:val="multilevel"/>
    <w:tmpl w:val="4E30F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FF008F"/>
    <w:multiLevelType w:val="multilevel"/>
    <w:tmpl w:val="1590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1B34C7"/>
    <w:multiLevelType w:val="multilevel"/>
    <w:tmpl w:val="ECE6B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AC00CB"/>
    <w:multiLevelType w:val="multilevel"/>
    <w:tmpl w:val="30DCAD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1A83976"/>
    <w:multiLevelType w:val="multilevel"/>
    <w:tmpl w:val="4354447A"/>
    <w:lvl w:ilvl="0">
      <w:start w:val="1"/>
      <w:numFmt w:val="decimal"/>
      <w:pStyle w:val="Stile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C50184C"/>
    <w:multiLevelType w:val="multilevel"/>
    <w:tmpl w:val="85326B20"/>
    <w:lvl w:ilvl="0">
      <w:start w:val="1"/>
      <w:numFmt w:val="bullet"/>
      <w:lvlText w:val="●"/>
      <w:lvlJc w:val="left"/>
      <w:pPr>
        <w:ind w:left="1440" w:hanging="360"/>
      </w:pPr>
      <w:rPr>
        <w:u w:val="none"/>
      </w:rPr>
    </w:lvl>
    <w:lvl w:ilvl="1">
      <w:start w:val="1"/>
      <w:numFmt w:val="bullet"/>
      <w:pStyle w:val="Stile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45E1356"/>
    <w:multiLevelType w:val="multilevel"/>
    <w:tmpl w:val="DC46E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7D1F3C"/>
    <w:multiLevelType w:val="multilevel"/>
    <w:tmpl w:val="FB40747A"/>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BCA4100"/>
    <w:multiLevelType w:val="multilevel"/>
    <w:tmpl w:val="BFF23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9010434">
    <w:abstractNumId w:val="6"/>
  </w:num>
  <w:num w:numId="2" w16cid:durableId="403455468">
    <w:abstractNumId w:val="9"/>
  </w:num>
  <w:num w:numId="3" w16cid:durableId="2080712366">
    <w:abstractNumId w:val="7"/>
  </w:num>
  <w:num w:numId="4" w16cid:durableId="740061043">
    <w:abstractNumId w:val="5"/>
  </w:num>
  <w:num w:numId="5" w16cid:durableId="536164257">
    <w:abstractNumId w:val="13"/>
  </w:num>
  <w:num w:numId="6" w16cid:durableId="386027941">
    <w:abstractNumId w:val="10"/>
  </w:num>
  <w:num w:numId="7" w16cid:durableId="1219895401">
    <w:abstractNumId w:val="3"/>
  </w:num>
  <w:num w:numId="8" w16cid:durableId="2007201048">
    <w:abstractNumId w:val="8"/>
  </w:num>
  <w:num w:numId="9" w16cid:durableId="332416751">
    <w:abstractNumId w:val="4"/>
  </w:num>
  <w:num w:numId="10" w16cid:durableId="599877726">
    <w:abstractNumId w:val="1"/>
  </w:num>
  <w:num w:numId="11" w16cid:durableId="639386355">
    <w:abstractNumId w:val="12"/>
  </w:num>
  <w:num w:numId="12" w16cid:durableId="1759446103">
    <w:abstractNumId w:val="0"/>
  </w:num>
  <w:num w:numId="13" w16cid:durableId="539130013">
    <w:abstractNumId w:val="11"/>
  </w:num>
  <w:num w:numId="14" w16cid:durableId="1327710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E57"/>
    <w:rsid w:val="00105F7E"/>
    <w:rsid w:val="00545547"/>
    <w:rsid w:val="00621C4F"/>
    <w:rsid w:val="0076198B"/>
    <w:rsid w:val="00761DC0"/>
    <w:rsid w:val="00A20C8D"/>
    <w:rsid w:val="00B966BF"/>
    <w:rsid w:val="00BE0E57"/>
    <w:rsid w:val="00C7481E"/>
    <w:rsid w:val="00F877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447F"/>
  <w15:docId w15:val="{55E5385D-EA52-4C16-BB6E-4364D1DEB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409"/>
  </w:style>
  <w:style w:type="paragraph" w:styleId="Heading1">
    <w:name w:val="heading 1"/>
    <w:basedOn w:val="Normal"/>
    <w:next w:val="Normal"/>
    <w:link w:val="Heading1Char"/>
    <w:uiPriority w:val="9"/>
    <w:qFormat/>
    <w:rsid w:val="009D329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D3296"/>
    <w:pPr>
      <w:keepNext/>
      <w:keepLines/>
      <w:spacing w:before="120" w:after="120"/>
      <w:ind w:left="576" w:hanging="576"/>
      <w:jc w:val="both"/>
      <w:outlineLvl w:val="1"/>
    </w:pPr>
    <w:rPr>
      <w:rFonts w:ascii="Roboto Medium" w:eastAsiaTheme="majorEastAsia" w:hAnsi="Roboto Medium" w:cstheme="majorBidi"/>
      <w:color w:val="000000" w:themeColor="text1"/>
      <w:sz w:val="32"/>
      <w:szCs w:val="26"/>
      <w:lang w:eastAsia="en-GB"/>
    </w:rPr>
  </w:style>
  <w:style w:type="paragraph" w:styleId="Heading3">
    <w:name w:val="heading 3"/>
    <w:basedOn w:val="Normal"/>
    <w:next w:val="Normal"/>
    <w:link w:val="Heading3Char"/>
    <w:uiPriority w:val="9"/>
    <w:semiHidden/>
    <w:unhideWhenUsed/>
    <w:qFormat/>
    <w:rsid w:val="009D3296"/>
    <w:pPr>
      <w:keepNext/>
      <w:keepLines/>
      <w:spacing w:before="40" w:after="0"/>
      <w:ind w:left="720" w:hanging="720"/>
      <w:jc w:val="both"/>
      <w:outlineLvl w:val="2"/>
    </w:pPr>
    <w:rPr>
      <w:rFonts w:ascii="Roboto Medium" w:eastAsiaTheme="majorEastAsia" w:hAnsi="Roboto Medium" w:cstheme="majorBidi"/>
      <w:color w:val="000000" w:themeColor="text1"/>
      <w:sz w:val="28"/>
      <w:szCs w:val="24"/>
      <w:lang w:eastAsia="en-GB"/>
    </w:rPr>
  </w:style>
  <w:style w:type="paragraph" w:styleId="Heading4">
    <w:name w:val="heading 4"/>
    <w:basedOn w:val="Normal"/>
    <w:next w:val="Normal"/>
    <w:link w:val="Heading4Char"/>
    <w:uiPriority w:val="9"/>
    <w:semiHidden/>
    <w:unhideWhenUsed/>
    <w:qFormat/>
    <w:rsid w:val="009D3296"/>
    <w:pPr>
      <w:keepNext/>
      <w:keepLines/>
      <w:spacing w:before="240" w:after="40"/>
      <w:ind w:left="864" w:hanging="864"/>
      <w:jc w:val="both"/>
      <w:outlineLvl w:val="3"/>
    </w:pPr>
    <w:rPr>
      <w:rFonts w:ascii="Noto Serif" w:eastAsia="Noto Serif" w:hAnsi="Noto Serif" w:cs="Noto Serif"/>
      <w:b/>
      <w:sz w:val="24"/>
      <w:szCs w:val="24"/>
      <w:lang w:eastAsia="en-GB"/>
    </w:rPr>
  </w:style>
  <w:style w:type="paragraph" w:styleId="Heading5">
    <w:name w:val="heading 5"/>
    <w:basedOn w:val="Normal"/>
    <w:next w:val="Normal"/>
    <w:link w:val="Heading5Char"/>
    <w:uiPriority w:val="9"/>
    <w:semiHidden/>
    <w:unhideWhenUsed/>
    <w:qFormat/>
    <w:rsid w:val="009D3296"/>
    <w:pPr>
      <w:keepNext/>
      <w:keepLines/>
      <w:spacing w:before="220" w:after="40"/>
      <w:ind w:left="1008" w:hanging="1008"/>
      <w:jc w:val="both"/>
      <w:outlineLvl w:val="4"/>
    </w:pPr>
    <w:rPr>
      <w:rFonts w:ascii="Noto Serif" w:eastAsia="Noto Serif" w:hAnsi="Noto Serif" w:cs="Noto Serif"/>
      <w:b/>
      <w:lang w:eastAsia="en-GB"/>
    </w:rPr>
  </w:style>
  <w:style w:type="paragraph" w:styleId="Heading6">
    <w:name w:val="heading 6"/>
    <w:basedOn w:val="Normal"/>
    <w:next w:val="Normal"/>
    <w:link w:val="Heading6Char"/>
    <w:uiPriority w:val="9"/>
    <w:semiHidden/>
    <w:unhideWhenUsed/>
    <w:qFormat/>
    <w:rsid w:val="009D3296"/>
    <w:pPr>
      <w:keepNext/>
      <w:keepLines/>
      <w:spacing w:before="200" w:after="40"/>
      <w:ind w:left="1152" w:hanging="1152"/>
      <w:jc w:val="both"/>
      <w:outlineLvl w:val="5"/>
    </w:pPr>
    <w:rPr>
      <w:rFonts w:ascii="Noto Serif" w:eastAsia="Noto Serif" w:hAnsi="Noto Serif" w:cs="Noto Serif"/>
      <w:b/>
      <w:sz w:val="20"/>
      <w:szCs w:val="20"/>
      <w:lang w:eastAsia="en-GB"/>
    </w:rPr>
  </w:style>
  <w:style w:type="paragraph" w:styleId="Heading7">
    <w:name w:val="heading 7"/>
    <w:basedOn w:val="Normal"/>
    <w:next w:val="Normal"/>
    <w:link w:val="Heading7Char"/>
    <w:uiPriority w:val="9"/>
    <w:semiHidden/>
    <w:unhideWhenUsed/>
    <w:qFormat/>
    <w:rsid w:val="009D3296"/>
    <w:pPr>
      <w:keepNext/>
      <w:keepLines/>
      <w:spacing w:before="200" w:after="0"/>
      <w:ind w:left="1296" w:hanging="1296"/>
      <w:jc w:val="both"/>
      <w:outlineLvl w:val="6"/>
    </w:pPr>
    <w:rPr>
      <w:rFonts w:asciiTheme="majorHAnsi" w:eastAsiaTheme="majorEastAsia" w:hAnsiTheme="majorHAnsi" w:cstheme="majorBidi"/>
      <w:i/>
      <w:iCs/>
      <w:color w:val="404040" w:themeColor="text1" w:themeTint="BF"/>
      <w:sz w:val="24"/>
      <w:szCs w:val="24"/>
      <w:lang w:eastAsia="en-GB"/>
    </w:rPr>
  </w:style>
  <w:style w:type="paragraph" w:styleId="Heading8">
    <w:name w:val="heading 8"/>
    <w:basedOn w:val="Normal"/>
    <w:next w:val="Normal"/>
    <w:link w:val="Heading8Char"/>
    <w:uiPriority w:val="9"/>
    <w:semiHidden/>
    <w:unhideWhenUsed/>
    <w:qFormat/>
    <w:rsid w:val="009D3296"/>
    <w:pPr>
      <w:keepNext/>
      <w:keepLines/>
      <w:spacing w:before="200" w:after="0"/>
      <w:ind w:left="1440" w:hanging="1440"/>
      <w:jc w:val="both"/>
      <w:outlineLvl w:val="7"/>
    </w:pPr>
    <w:rPr>
      <w:rFonts w:asciiTheme="majorHAnsi" w:eastAsiaTheme="majorEastAsia" w:hAnsiTheme="majorHAnsi" w:cstheme="majorBidi"/>
      <w:color w:val="404040" w:themeColor="text1" w:themeTint="BF"/>
      <w:sz w:val="20"/>
      <w:szCs w:val="20"/>
      <w:lang w:eastAsia="en-GB"/>
    </w:rPr>
  </w:style>
  <w:style w:type="paragraph" w:styleId="Heading9">
    <w:name w:val="heading 9"/>
    <w:basedOn w:val="Normal"/>
    <w:next w:val="Normal"/>
    <w:link w:val="Heading9Char"/>
    <w:uiPriority w:val="9"/>
    <w:semiHidden/>
    <w:unhideWhenUsed/>
    <w:qFormat/>
    <w:rsid w:val="009D3296"/>
    <w:pPr>
      <w:keepNext/>
      <w:keepLines/>
      <w:spacing w:before="200" w:after="0"/>
      <w:ind w:left="1584" w:hanging="1584"/>
      <w:jc w:val="both"/>
      <w:outlineLvl w:val="8"/>
    </w:pPr>
    <w:rPr>
      <w:rFonts w:asciiTheme="majorHAnsi" w:eastAsiaTheme="majorEastAsia" w:hAnsiTheme="majorHAnsi" w:cstheme="majorBidi"/>
      <w:i/>
      <w:iCs/>
      <w:color w:val="404040" w:themeColor="text1" w:themeTint="BF"/>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PLD_FRONT_TITLE"/>
    <w:basedOn w:val="Header"/>
    <w:next w:val="Normal"/>
    <w:link w:val="TitleChar"/>
    <w:uiPriority w:val="10"/>
    <w:qFormat/>
    <w:rsid w:val="00AA6560"/>
    <w:pPr>
      <w:tabs>
        <w:tab w:val="clear" w:pos="4680"/>
        <w:tab w:val="clear" w:pos="9360"/>
      </w:tabs>
      <w:jc w:val="center"/>
    </w:pPr>
    <w:rPr>
      <w:rFonts w:ascii="Roboto Slab" w:eastAsia="Arial Narrow" w:hAnsi="Roboto Slab" w:cs="Arial Narrow"/>
      <w:b/>
      <w:sz w:val="48"/>
      <w:szCs w:val="24"/>
      <w:lang w:eastAsia="en-GB"/>
    </w:rPr>
  </w:style>
  <w:style w:type="paragraph" w:styleId="Header">
    <w:name w:val="header"/>
    <w:basedOn w:val="Normal"/>
    <w:link w:val="HeaderChar"/>
    <w:uiPriority w:val="99"/>
    <w:unhideWhenUsed/>
    <w:rsid w:val="00643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0AF"/>
  </w:style>
  <w:style w:type="paragraph" w:styleId="Footer">
    <w:name w:val="footer"/>
    <w:basedOn w:val="Normal"/>
    <w:link w:val="FooterChar"/>
    <w:uiPriority w:val="99"/>
    <w:unhideWhenUsed/>
    <w:rsid w:val="00643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0AF"/>
  </w:style>
  <w:style w:type="paragraph" w:styleId="BalloonText">
    <w:name w:val="Balloon Text"/>
    <w:basedOn w:val="Normal"/>
    <w:link w:val="BalloonTextChar"/>
    <w:uiPriority w:val="99"/>
    <w:semiHidden/>
    <w:unhideWhenUsed/>
    <w:rsid w:val="006430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0AF"/>
    <w:rPr>
      <w:rFonts w:ascii="Tahoma" w:hAnsi="Tahoma" w:cs="Tahoma"/>
      <w:sz w:val="16"/>
      <w:szCs w:val="16"/>
    </w:rPr>
  </w:style>
  <w:style w:type="paragraph" w:styleId="NormalWeb">
    <w:name w:val="Normal (Web)"/>
    <w:basedOn w:val="Normal"/>
    <w:uiPriority w:val="99"/>
    <w:semiHidden/>
    <w:unhideWhenUsed/>
    <w:rsid w:val="006430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itleChar">
    <w:name w:val="Title Char"/>
    <w:aliases w:val="PLD_FRONT_TITLE Char"/>
    <w:basedOn w:val="DefaultParagraphFont"/>
    <w:link w:val="Title"/>
    <w:uiPriority w:val="10"/>
    <w:rsid w:val="00AA6560"/>
    <w:rPr>
      <w:rFonts w:ascii="Roboto Slab" w:eastAsia="Arial Narrow" w:hAnsi="Roboto Slab" w:cs="Arial Narrow"/>
      <w:b/>
      <w:sz w:val="48"/>
      <w:szCs w:val="24"/>
      <w:lang w:val="en-GB" w:eastAsia="en-GB"/>
    </w:rPr>
  </w:style>
  <w:style w:type="table" w:styleId="TableGrid">
    <w:name w:val="Table Grid"/>
    <w:basedOn w:val="TableNormal"/>
    <w:uiPriority w:val="39"/>
    <w:rsid w:val="009D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3296"/>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9D3296"/>
    <w:pPr>
      <w:spacing w:line="276" w:lineRule="auto"/>
      <w:outlineLvl w:val="9"/>
    </w:pPr>
    <w:rPr>
      <w:lang w:val="en-US"/>
    </w:rPr>
  </w:style>
  <w:style w:type="paragraph" w:styleId="TOC2">
    <w:name w:val="toc 2"/>
    <w:basedOn w:val="Normal"/>
    <w:next w:val="Normal"/>
    <w:autoRedefine/>
    <w:uiPriority w:val="39"/>
    <w:unhideWhenUsed/>
    <w:qFormat/>
    <w:rsid w:val="009D3296"/>
    <w:pPr>
      <w:spacing w:after="100" w:line="276" w:lineRule="auto"/>
      <w:ind w:left="220"/>
    </w:pPr>
    <w:rPr>
      <w:rFonts w:eastAsiaTheme="minorEastAsia"/>
      <w:lang w:val="en-US"/>
    </w:rPr>
  </w:style>
  <w:style w:type="paragraph" w:styleId="TOC1">
    <w:name w:val="toc 1"/>
    <w:basedOn w:val="Normal"/>
    <w:next w:val="Normal"/>
    <w:autoRedefine/>
    <w:uiPriority w:val="39"/>
    <w:unhideWhenUsed/>
    <w:qFormat/>
    <w:rsid w:val="009D3296"/>
    <w:pPr>
      <w:spacing w:after="100" w:line="276" w:lineRule="auto"/>
    </w:pPr>
    <w:rPr>
      <w:rFonts w:eastAsiaTheme="minorEastAsia"/>
      <w:lang w:val="en-US"/>
    </w:rPr>
  </w:style>
  <w:style w:type="paragraph" w:styleId="TOC3">
    <w:name w:val="toc 3"/>
    <w:basedOn w:val="Normal"/>
    <w:next w:val="Normal"/>
    <w:autoRedefine/>
    <w:uiPriority w:val="39"/>
    <w:unhideWhenUsed/>
    <w:qFormat/>
    <w:rsid w:val="009D3296"/>
    <w:pPr>
      <w:spacing w:after="100" w:line="276" w:lineRule="auto"/>
      <w:ind w:left="440"/>
    </w:pPr>
    <w:rPr>
      <w:rFonts w:eastAsiaTheme="minorEastAsia"/>
      <w:lang w:val="en-US"/>
    </w:rPr>
  </w:style>
  <w:style w:type="character" w:customStyle="1" w:styleId="Heading2Char">
    <w:name w:val="Heading 2 Char"/>
    <w:basedOn w:val="DefaultParagraphFont"/>
    <w:link w:val="Heading2"/>
    <w:uiPriority w:val="9"/>
    <w:rsid w:val="009D3296"/>
    <w:rPr>
      <w:rFonts w:ascii="Roboto Medium" w:eastAsiaTheme="majorEastAsia" w:hAnsi="Roboto Medium" w:cstheme="majorBidi"/>
      <w:color w:val="000000" w:themeColor="text1"/>
      <w:sz w:val="32"/>
      <w:szCs w:val="26"/>
      <w:lang w:val="en-GB" w:eastAsia="en-GB"/>
    </w:rPr>
  </w:style>
  <w:style w:type="character" w:customStyle="1" w:styleId="Heading3Char">
    <w:name w:val="Heading 3 Char"/>
    <w:basedOn w:val="DefaultParagraphFont"/>
    <w:link w:val="Heading3"/>
    <w:uiPriority w:val="9"/>
    <w:rsid w:val="009D3296"/>
    <w:rPr>
      <w:rFonts w:ascii="Roboto Medium" w:eastAsiaTheme="majorEastAsia" w:hAnsi="Roboto Medium" w:cstheme="majorBidi"/>
      <w:color w:val="000000" w:themeColor="text1"/>
      <w:sz w:val="28"/>
      <w:szCs w:val="24"/>
      <w:lang w:val="en-GB" w:eastAsia="en-GB"/>
    </w:rPr>
  </w:style>
  <w:style w:type="character" w:customStyle="1" w:styleId="Heading4Char">
    <w:name w:val="Heading 4 Char"/>
    <w:basedOn w:val="DefaultParagraphFont"/>
    <w:link w:val="Heading4"/>
    <w:rsid w:val="009D3296"/>
    <w:rPr>
      <w:rFonts w:ascii="Noto Serif" w:eastAsia="Noto Serif" w:hAnsi="Noto Serif" w:cs="Noto Serif"/>
      <w:b/>
      <w:sz w:val="24"/>
      <w:szCs w:val="24"/>
      <w:lang w:val="en-GB" w:eastAsia="en-GB"/>
    </w:rPr>
  </w:style>
  <w:style w:type="character" w:customStyle="1" w:styleId="Heading5Char">
    <w:name w:val="Heading 5 Char"/>
    <w:basedOn w:val="DefaultParagraphFont"/>
    <w:link w:val="Heading5"/>
    <w:rsid w:val="009D3296"/>
    <w:rPr>
      <w:rFonts w:ascii="Noto Serif" w:eastAsia="Noto Serif" w:hAnsi="Noto Serif" w:cs="Noto Serif"/>
      <w:b/>
      <w:lang w:val="en-GB" w:eastAsia="en-GB"/>
    </w:rPr>
  </w:style>
  <w:style w:type="character" w:customStyle="1" w:styleId="Heading6Char">
    <w:name w:val="Heading 6 Char"/>
    <w:basedOn w:val="DefaultParagraphFont"/>
    <w:link w:val="Heading6"/>
    <w:rsid w:val="009D3296"/>
    <w:rPr>
      <w:rFonts w:ascii="Noto Serif" w:eastAsia="Noto Serif" w:hAnsi="Noto Serif" w:cs="Noto Serif"/>
      <w:b/>
      <w:sz w:val="20"/>
      <w:szCs w:val="20"/>
      <w:lang w:val="en-GB" w:eastAsia="en-GB"/>
    </w:rPr>
  </w:style>
  <w:style w:type="character" w:customStyle="1" w:styleId="Heading7Char">
    <w:name w:val="Heading 7 Char"/>
    <w:basedOn w:val="DefaultParagraphFont"/>
    <w:link w:val="Heading7"/>
    <w:uiPriority w:val="9"/>
    <w:semiHidden/>
    <w:rsid w:val="009D3296"/>
    <w:rPr>
      <w:rFonts w:asciiTheme="majorHAnsi" w:eastAsiaTheme="majorEastAsia" w:hAnsiTheme="majorHAnsi" w:cstheme="majorBidi"/>
      <w:i/>
      <w:iCs/>
      <w:color w:val="404040" w:themeColor="text1" w:themeTint="BF"/>
      <w:sz w:val="24"/>
      <w:szCs w:val="24"/>
      <w:lang w:val="en-GB" w:eastAsia="en-GB"/>
    </w:rPr>
  </w:style>
  <w:style w:type="character" w:customStyle="1" w:styleId="Heading8Char">
    <w:name w:val="Heading 8 Char"/>
    <w:basedOn w:val="DefaultParagraphFont"/>
    <w:link w:val="Heading8"/>
    <w:uiPriority w:val="9"/>
    <w:semiHidden/>
    <w:rsid w:val="009D3296"/>
    <w:rPr>
      <w:rFonts w:asciiTheme="majorHAnsi" w:eastAsiaTheme="majorEastAsia" w:hAnsiTheme="majorHAnsi" w:cstheme="majorBidi"/>
      <w:color w:val="404040" w:themeColor="text1" w:themeTint="BF"/>
      <w:sz w:val="20"/>
      <w:szCs w:val="20"/>
      <w:lang w:val="en-GB" w:eastAsia="en-GB"/>
    </w:rPr>
  </w:style>
  <w:style w:type="character" w:customStyle="1" w:styleId="Heading9Char">
    <w:name w:val="Heading 9 Char"/>
    <w:basedOn w:val="DefaultParagraphFont"/>
    <w:link w:val="Heading9"/>
    <w:uiPriority w:val="9"/>
    <w:semiHidden/>
    <w:rsid w:val="009D3296"/>
    <w:rPr>
      <w:rFonts w:asciiTheme="majorHAnsi" w:eastAsiaTheme="majorEastAsia" w:hAnsiTheme="majorHAnsi" w:cstheme="majorBidi"/>
      <w:i/>
      <w:iCs/>
      <w:color w:val="404040" w:themeColor="text1" w:themeTint="BF"/>
      <w:sz w:val="20"/>
      <w:szCs w:val="20"/>
      <w:lang w:val="en-GB" w:eastAsia="en-GB"/>
    </w:rPr>
  </w:style>
  <w:style w:type="paragraph" w:styleId="ListParagraph">
    <w:name w:val="List Paragraph"/>
    <w:basedOn w:val="Normal"/>
    <w:uiPriority w:val="34"/>
    <w:qFormat/>
    <w:rsid w:val="00ED378C"/>
    <w:pPr>
      <w:ind w:left="720"/>
      <w:contextualSpacing/>
    </w:pPr>
  </w:style>
  <w:style w:type="table" w:customStyle="1" w:styleId="Style1">
    <w:name w:val="Style1"/>
    <w:basedOn w:val="TableNormal"/>
    <w:uiPriority w:val="99"/>
    <w:qFormat/>
    <w:rsid w:val="00EC7328"/>
    <w:pPr>
      <w:spacing w:after="0" w:line="240" w:lineRule="auto"/>
    </w:pPr>
    <w:rPr>
      <w:sz w:val="24"/>
    </w:rPr>
    <w:tblPr/>
  </w:style>
  <w:style w:type="table" w:customStyle="1" w:styleId="Style2">
    <w:name w:val="Style2"/>
    <w:basedOn w:val="TableNormal"/>
    <w:uiPriority w:val="99"/>
    <w:qFormat/>
    <w:rsid w:val="00EC7328"/>
    <w:pPr>
      <w:spacing w:after="0" w:line="240" w:lineRule="auto"/>
    </w:pPr>
    <w:tblPr/>
    <w:tcPr>
      <w:shd w:val="clear" w:color="auto" w:fill="3692A8"/>
    </w:tcPr>
  </w:style>
  <w:style w:type="paragraph" w:styleId="Subtitle">
    <w:name w:val="Subtitle"/>
    <w:basedOn w:val="Normal"/>
    <w:next w:val="Normal"/>
    <w:link w:val="SubtitleChar"/>
    <w:uiPriority w:val="11"/>
    <w:qFormat/>
    <w:pPr>
      <w:widowControl w:val="0"/>
      <w:tabs>
        <w:tab w:val="left" w:pos="360"/>
      </w:tabs>
      <w:spacing w:before="240" w:after="240" w:line="276" w:lineRule="auto"/>
      <w:ind w:right="1054"/>
      <w:jc w:val="both"/>
    </w:pPr>
    <w:rPr>
      <w:b/>
      <w:color w:val="1F3864"/>
      <w:sz w:val="44"/>
      <w:szCs w:val="44"/>
    </w:rPr>
  </w:style>
  <w:style w:type="character" w:customStyle="1" w:styleId="SubtitleChar">
    <w:name w:val="Subtitle Char"/>
    <w:basedOn w:val="DefaultParagraphFont"/>
    <w:link w:val="Subtitle"/>
    <w:uiPriority w:val="11"/>
    <w:rsid w:val="00BA492A"/>
    <w:rPr>
      <w:rFonts w:eastAsia="Avenir-Light" w:cs="Avenir-Light"/>
      <w:b/>
      <w:color w:val="F9B76A"/>
      <w:sz w:val="50"/>
      <w:lang w:val="fr-FR"/>
    </w:rPr>
  </w:style>
  <w:style w:type="paragraph" w:styleId="FootnoteText">
    <w:name w:val="footnote text"/>
    <w:basedOn w:val="Normal"/>
    <w:link w:val="FootnoteTextChar"/>
    <w:uiPriority w:val="99"/>
    <w:unhideWhenUsed/>
    <w:rsid w:val="002F3A82"/>
    <w:pPr>
      <w:spacing w:after="0" w:line="240" w:lineRule="auto"/>
      <w:jc w:val="both"/>
    </w:pPr>
    <w:rPr>
      <w:sz w:val="20"/>
      <w:szCs w:val="20"/>
    </w:rPr>
  </w:style>
  <w:style w:type="character" w:customStyle="1" w:styleId="FootnoteTextChar">
    <w:name w:val="Footnote Text Char"/>
    <w:basedOn w:val="DefaultParagraphFont"/>
    <w:link w:val="FootnoteText"/>
    <w:uiPriority w:val="99"/>
    <w:rsid w:val="002F3A82"/>
    <w:rPr>
      <w:sz w:val="20"/>
      <w:szCs w:val="20"/>
      <w:lang w:val="en-GB"/>
    </w:rPr>
  </w:style>
  <w:style w:type="character" w:styleId="FootnoteReference">
    <w:name w:val="footnote reference"/>
    <w:basedOn w:val="DefaultParagraphFont"/>
    <w:uiPriority w:val="99"/>
    <w:semiHidden/>
    <w:unhideWhenUsed/>
    <w:rsid w:val="002F3A82"/>
    <w:rPr>
      <w:vertAlign w:val="superscript"/>
    </w:rPr>
  </w:style>
  <w:style w:type="paragraph" w:customStyle="1" w:styleId="paragraph">
    <w:name w:val="paragraph"/>
    <w:basedOn w:val="Normal"/>
    <w:rsid w:val="008B37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8B37D1"/>
  </w:style>
  <w:style w:type="character" w:customStyle="1" w:styleId="eop">
    <w:name w:val="eop"/>
    <w:basedOn w:val="DefaultParagraphFont"/>
    <w:rsid w:val="008B37D1"/>
  </w:style>
  <w:style w:type="table" w:styleId="LightList-Accent2">
    <w:name w:val="Light List Accent 2"/>
    <w:basedOn w:val="TableNormal"/>
    <w:uiPriority w:val="61"/>
    <w:rsid w:val="00EA5F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EA5F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A5F8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numbering" w:customStyle="1" w:styleId="Style3">
    <w:name w:val="Style3"/>
    <w:uiPriority w:val="99"/>
    <w:rsid w:val="00426CC3"/>
  </w:style>
  <w:style w:type="numbering" w:customStyle="1" w:styleId="Style4">
    <w:name w:val="Style4"/>
    <w:uiPriority w:val="99"/>
    <w:rsid w:val="00426CC3"/>
  </w:style>
  <w:style w:type="paragraph" w:styleId="Revision">
    <w:name w:val="Revision"/>
    <w:hidden/>
    <w:uiPriority w:val="99"/>
    <w:semiHidden/>
    <w:rsid w:val="00FE73CB"/>
    <w:pPr>
      <w:spacing w:after="0" w:line="240" w:lineRule="auto"/>
    </w:pPr>
  </w:style>
  <w:style w:type="character" w:styleId="Hyperlink">
    <w:name w:val="Hyperlink"/>
    <w:basedOn w:val="DefaultParagraphFont"/>
    <w:uiPriority w:val="99"/>
    <w:unhideWhenUsed/>
    <w:rsid w:val="00245C0A"/>
    <w:rPr>
      <w:color w:val="0563C1" w:themeColor="hyperlink"/>
      <w:u w:val="single"/>
    </w:rPr>
  </w:style>
  <w:style w:type="character" w:styleId="CommentReference">
    <w:name w:val="annotation reference"/>
    <w:basedOn w:val="DefaultParagraphFont"/>
    <w:uiPriority w:val="99"/>
    <w:semiHidden/>
    <w:unhideWhenUsed/>
    <w:rsid w:val="00D82CFC"/>
    <w:rPr>
      <w:sz w:val="16"/>
      <w:szCs w:val="16"/>
    </w:rPr>
  </w:style>
  <w:style w:type="paragraph" w:styleId="CommentText">
    <w:name w:val="annotation text"/>
    <w:basedOn w:val="Normal"/>
    <w:link w:val="CommentTextChar"/>
    <w:uiPriority w:val="99"/>
    <w:unhideWhenUsed/>
    <w:rsid w:val="00D82CFC"/>
    <w:pPr>
      <w:spacing w:line="240" w:lineRule="auto"/>
    </w:pPr>
    <w:rPr>
      <w:sz w:val="20"/>
      <w:szCs w:val="20"/>
    </w:rPr>
  </w:style>
  <w:style w:type="character" w:customStyle="1" w:styleId="CommentTextChar">
    <w:name w:val="Comment Text Char"/>
    <w:basedOn w:val="DefaultParagraphFont"/>
    <w:link w:val="CommentText"/>
    <w:uiPriority w:val="99"/>
    <w:rsid w:val="00D82CFC"/>
    <w:rPr>
      <w:sz w:val="20"/>
      <w:szCs w:val="20"/>
    </w:rPr>
  </w:style>
  <w:style w:type="paragraph" w:styleId="CommentSubject">
    <w:name w:val="annotation subject"/>
    <w:basedOn w:val="CommentText"/>
    <w:next w:val="CommentText"/>
    <w:link w:val="CommentSubjectChar"/>
    <w:uiPriority w:val="99"/>
    <w:semiHidden/>
    <w:unhideWhenUsed/>
    <w:rsid w:val="00D82CFC"/>
    <w:rPr>
      <w:b/>
      <w:bCs/>
    </w:rPr>
  </w:style>
  <w:style w:type="character" w:customStyle="1" w:styleId="CommentSubjectChar">
    <w:name w:val="Comment Subject Char"/>
    <w:basedOn w:val="CommentTextChar"/>
    <w:link w:val="CommentSubject"/>
    <w:uiPriority w:val="99"/>
    <w:semiHidden/>
    <w:rsid w:val="00D82CFC"/>
    <w:rPr>
      <w:b/>
      <w:bCs/>
      <w:sz w:val="20"/>
      <w:szCs w:val="20"/>
    </w:rPr>
  </w:style>
  <w:style w:type="paragraph" w:customStyle="1" w:styleId="Stile1">
    <w:name w:val="Stile1"/>
    <w:basedOn w:val="Heading1"/>
    <w:link w:val="Stile1Carattere"/>
    <w:qFormat/>
    <w:rsid w:val="00CB07F5"/>
    <w:pPr>
      <w:numPr>
        <w:numId w:val="2"/>
      </w:numPr>
      <w:tabs>
        <w:tab w:val="left" w:pos="360"/>
      </w:tabs>
      <w:spacing w:before="240" w:after="240"/>
      <w:jc w:val="both"/>
    </w:pPr>
    <w:rPr>
      <w:rFonts w:ascii="Calibri" w:eastAsia="Calibri" w:hAnsi="Calibri" w:cs="Calibri"/>
      <w:color w:val="1F3864" w:themeColor="accent1" w:themeShade="80"/>
      <w:sz w:val="32"/>
      <w:szCs w:val="32"/>
      <w:lang w:val="en-US"/>
    </w:rPr>
  </w:style>
  <w:style w:type="character" w:customStyle="1" w:styleId="Stile1Carattere">
    <w:name w:val="Stile1 Carattere"/>
    <w:basedOn w:val="Heading1Char"/>
    <w:link w:val="Stile1"/>
    <w:rsid w:val="00CB07F5"/>
    <w:rPr>
      <w:rFonts w:ascii="Calibri" w:eastAsia="Calibri" w:hAnsi="Calibri" w:cs="Calibri"/>
      <w:b/>
      <w:bCs/>
      <w:color w:val="1F3864" w:themeColor="accent1" w:themeShade="80"/>
      <w:sz w:val="32"/>
      <w:szCs w:val="32"/>
      <w:lang w:val="en-US"/>
    </w:rPr>
  </w:style>
  <w:style w:type="numbering" w:customStyle="1" w:styleId="Style31">
    <w:name w:val="Style31"/>
    <w:uiPriority w:val="99"/>
    <w:rsid w:val="002340C1"/>
  </w:style>
  <w:style w:type="numbering" w:customStyle="1" w:styleId="Style41">
    <w:name w:val="Style41"/>
    <w:uiPriority w:val="99"/>
    <w:rsid w:val="002340C1"/>
  </w:style>
  <w:style w:type="paragraph" w:customStyle="1" w:styleId="Stile2">
    <w:name w:val="Stile2"/>
    <w:basedOn w:val="Heading2"/>
    <w:link w:val="Stile2Carattere"/>
    <w:qFormat/>
    <w:rsid w:val="00682873"/>
    <w:pPr>
      <w:numPr>
        <w:ilvl w:val="1"/>
        <w:numId w:val="6"/>
      </w:numPr>
      <w:tabs>
        <w:tab w:val="left" w:pos="0"/>
        <w:tab w:val="left" w:pos="630"/>
      </w:tabs>
      <w:ind w:left="0" w:firstLine="0"/>
    </w:pPr>
    <w:rPr>
      <w:rFonts w:cstheme="minorHAnsi"/>
      <w:b/>
      <w:bCs/>
      <w:color w:val="833C0B" w:themeColor="accent2" w:themeShade="80"/>
      <w:sz w:val="28"/>
      <w:szCs w:val="28"/>
    </w:rPr>
  </w:style>
  <w:style w:type="character" w:customStyle="1" w:styleId="Stile2Carattere">
    <w:name w:val="Stile2 Carattere"/>
    <w:basedOn w:val="Heading2Char"/>
    <w:link w:val="Stile2"/>
    <w:rsid w:val="00682873"/>
    <w:rPr>
      <w:rFonts w:ascii="Roboto Medium" w:eastAsiaTheme="majorEastAsia" w:hAnsi="Roboto Medium" w:cstheme="minorHAnsi"/>
      <w:b/>
      <w:bCs/>
      <w:color w:val="833C0B" w:themeColor="accent2" w:themeShade="80"/>
      <w:sz w:val="28"/>
      <w:szCs w:val="28"/>
      <w:lang w:val="en-GB" w:eastAsia="en-GB"/>
    </w:rPr>
  </w:style>
  <w:style w:type="paragraph" w:customStyle="1" w:styleId="Stile3">
    <w:name w:val="Stile3"/>
    <w:basedOn w:val="Heading3"/>
    <w:link w:val="Stile3Carattere"/>
    <w:qFormat/>
    <w:rsid w:val="00682873"/>
    <w:pPr>
      <w:numPr>
        <w:ilvl w:val="2"/>
        <w:numId w:val="7"/>
      </w:numPr>
      <w:ind w:left="810" w:hanging="810"/>
    </w:pPr>
    <w:rPr>
      <w:rFonts w:cstheme="minorHAnsi"/>
      <w:b/>
      <w:bCs/>
      <w:color w:val="806000" w:themeColor="accent4" w:themeShade="80"/>
      <w:sz w:val="24"/>
    </w:rPr>
  </w:style>
  <w:style w:type="character" w:customStyle="1" w:styleId="Stile3Carattere">
    <w:name w:val="Stile3 Carattere"/>
    <w:basedOn w:val="Heading3Char"/>
    <w:link w:val="Stile3"/>
    <w:rsid w:val="00682873"/>
    <w:rPr>
      <w:rFonts w:ascii="Roboto Medium" w:eastAsiaTheme="majorEastAsia" w:hAnsi="Roboto Medium" w:cstheme="minorHAnsi"/>
      <w:b/>
      <w:bCs/>
      <w:color w:val="806000" w:themeColor="accent4" w:themeShade="80"/>
      <w:sz w:val="24"/>
      <w:szCs w:val="24"/>
      <w:lang w:val="en-GB" w:eastAsia="en-GB"/>
    </w:rPr>
  </w:style>
  <w:style w:type="character" w:styleId="UnresolvedMention">
    <w:name w:val="Unresolved Mention"/>
    <w:basedOn w:val="DefaultParagraphFont"/>
    <w:uiPriority w:val="99"/>
    <w:semiHidden/>
    <w:unhideWhenUsed/>
    <w:rsid w:val="007A34D6"/>
    <w:rPr>
      <w:color w:val="605E5C"/>
      <w:shd w:val="clear" w:color="auto" w:fill="E1DFDD"/>
    </w:rPr>
  </w:style>
  <w:style w:type="table" w:customStyle="1" w:styleId="a">
    <w:basedOn w:val="TableNormal"/>
    <w:pPr>
      <w:spacing w:after="0" w:line="240" w:lineRule="auto"/>
    </w:pPr>
    <w:rPr>
      <w:sz w:val="24"/>
      <w:szCs w:val="24"/>
    </w:rPr>
    <w:tblPr>
      <w:tblStyleRowBandSize w:val="1"/>
      <w:tblStyleColBandSize w:val="1"/>
      <w:tblCellMar>
        <w:left w:w="115" w:type="dxa"/>
        <w:right w:w="115" w:type="dxa"/>
      </w:tblCellMar>
    </w:tblPr>
    <w:tcPr>
      <w:shd w:val="clear" w:color="auto" w:fill="3692A8"/>
    </w:tc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StylePr>
    <w:tblStylePr w:type="firstCol">
      <w:rPr>
        <w:b/>
      </w:rPr>
    </w:tblStylePr>
    <w:tblStylePr w:type="la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26" Type="http://schemas.openxmlformats.org/officeDocument/2006/relationships/hyperlink" Target="https://world-nuclear.org/images/articles/performance-report-2023-final.pdf" TargetMode="External"/><Relationship Id="rId21" Type="http://schemas.openxmlformats.org/officeDocument/2006/relationships/hyperlink" Target="https://energy.ec.europa.eu/topics/infrastructure/high-level-groups/central-and-south-eastern-europe-energy-connectivity_en" TargetMode="External"/><Relationship Id="rId42" Type="http://schemas.openxmlformats.org/officeDocument/2006/relationships/hyperlink" Target="https://commission.europa.eu/publications/hungary-final-updated-necp-2021-2030-submitted-2024_en" TargetMode="External"/><Relationship Id="rId47" Type="http://schemas.openxmlformats.org/officeDocument/2006/relationships/hyperlink" Target="https://abouthungary.hu/news-in-brief/energy-ministry-unveils-hungary-s-new-national-energy-and-climate-plan" TargetMode="External"/><Relationship Id="rId63" Type="http://schemas.openxmlformats.org/officeDocument/2006/relationships/hyperlink" Target="https://hungarytoday.hu/huf-2000-billion-in-eu-funds-to-boost-railway-development/" TargetMode="External"/><Relationship Id="rId68" Type="http://schemas.openxmlformats.org/officeDocument/2006/relationships/hyperlink" Target="https://www.c-roads.eu/deployments/core-members/hungary/Partner/project/show/c-roads-hungary.html" TargetMode="External"/><Relationship Id="rId16" Type="http://schemas.openxmlformats.org/officeDocument/2006/relationships/hyperlink" Target="https://bbj.hu/economy/energy/energy-trade/expanded-krk-terminal-to-go-live-in-early-2025-lng-croatia/" TargetMode="External"/><Relationship Id="rId11" Type="http://schemas.openxmlformats.org/officeDocument/2006/relationships/hyperlink" Target="https://www.reuters.com/markets/europe/hungary-says-eu-not-doing-enough-end-russian-gas-dependence-2024-09-18/" TargetMode="External"/><Relationship Id="rId32" Type="http://schemas.openxmlformats.org/officeDocument/2006/relationships/hyperlink" Target="https://www.world-nuclear-news.org/Articles/Paks-II-aims-for-first-concrete-in-2024%2C-work-on-r" TargetMode="External"/><Relationship Id="rId37" Type="http://schemas.openxmlformats.org/officeDocument/2006/relationships/hyperlink" Target="https://www.clean-hydrogen.europa.eu/media/news/repowering-eu-hydrogen-valleys-clean-hydrogen-partnership-invests-eur-1054-million-funding-9-2023-01-31_en" TargetMode="External"/><Relationship Id="rId53" Type="http://schemas.openxmlformats.org/officeDocument/2006/relationships/hyperlink" Target="https://www.electrive.com/2023/10/24/hungary-introduces-new-e-mobility-subsidy-package/" TargetMode="External"/><Relationship Id="rId58" Type="http://schemas.openxmlformats.org/officeDocument/2006/relationships/hyperlink" Target="https://rekk.hu/downloads/events/Green_Transport_plans_in_Hungary.pdf" TargetMode="External"/><Relationship Id="rId74" Type="http://schemas.openxmlformats.org/officeDocument/2006/relationships/hyperlink" Target="https://eionet.kormany.hu/download/1/46/c1000/03_Bibok_Jedlik_Anyos_Terv.pdf" TargetMode="External"/><Relationship Id="rId79" Type="http://schemas.openxmlformats.org/officeDocument/2006/relationships/hyperlink" Target="https://www.levego.hu/sites/default/files/Hungary%20Report%20on%20the%20Decarbonisation%20of%20Transport%20%28EUKI%20Project%29.pdf" TargetMode="External"/><Relationship Id="rId5" Type="http://schemas.openxmlformats.org/officeDocument/2006/relationships/hyperlink" Target="https://abouthungary.hu/news-in-brief/parliament-passes-law-on-climate-protection" TargetMode="External"/><Relationship Id="rId61" Type="http://schemas.openxmlformats.org/officeDocument/2006/relationships/hyperlink" Target="https://transport.ec.europa.eu/system/files/2018-12/2018_hu_its_progress_report_2017.pdf" TargetMode="External"/><Relationship Id="rId82" Type="http://schemas.openxmlformats.org/officeDocument/2006/relationships/hyperlink" Target="https://ceelegalmatters.com/briefings/11063-fostering-the-regeneration-of-brownfield-areas-in-hungary" TargetMode="External"/><Relationship Id="rId19" Type="http://schemas.openxmlformats.org/officeDocument/2006/relationships/hyperlink" Target="https://www.euronews.com/2024/03/01/more-gas-could-be-on-the-way-for-the-eu-through-the-southern-gas-corridor" TargetMode="External"/><Relationship Id="rId14" Type="http://schemas.openxmlformats.org/officeDocument/2006/relationships/hyperlink" Target="https://washington.mfa.gov.hu/eng/news/hungary-concludes-historic-lng-purchasing-agreement-with-shell" TargetMode="External"/><Relationship Id="rId22" Type="http://schemas.openxmlformats.org/officeDocument/2006/relationships/hyperlink" Target="https://www.mercatoelettrico.org/Portals/0/Documents/en-US/20141119PCR.pdf" TargetMode="External"/><Relationship Id="rId27" Type="http://schemas.openxmlformats.org/officeDocument/2006/relationships/hyperlink" Target="https://www.paks2.hu/web/paks-2-en" TargetMode="External"/><Relationship Id="rId30" Type="http://schemas.openxmlformats.org/officeDocument/2006/relationships/hyperlink" Target="https://energynews.oedigital.com/energy-markets/2024/07/28/hungary-to-allow-nuclear-plant-to-exceed-danube-water-temperature-limitation" TargetMode="External"/><Relationship Id="rId35" Type="http://schemas.openxmlformats.org/officeDocument/2006/relationships/hyperlink" Target="https://bbj.hu/economy/energy/energy-trade/hungary-gas-reserves-above-level-expected-by-eu/" TargetMode="External"/><Relationship Id="rId43" Type="http://schemas.openxmlformats.org/officeDocument/2006/relationships/hyperlink" Target="https://eur-lex.europa.eu/legal-content/EN/TXT/PDF/?uri=CELEX:52023SC0646" TargetMode="External"/><Relationship Id="rId48" Type="http://schemas.openxmlformats.org/officeDocument/2006/relationships/hyperlink" Target="https://www.reuters.com/business/energy/poland-hungary-become-key-new-drivers-europes-solar-growth-maguire-2024-08-20" TargetMode="External"/><Relationship Id="rId56" Type="http://schemas.openxmlformats.org/officeDocument/2006/relationships/hyperlink" Target="https://www.ceicdata.com/en/hungary/environmental-greenhouse-gas-emissions-oecd-member-annual/greenhouse-gases-percentage-of-greenhouse-gas-emission-energy-transport" TargetMode="External"/><Relationship Id="rId64" Type="http://schemas.openxmlformats.org/officeDocument/2006/relationships/hyperlink" Target="https://www.reuters.com/world/europe/hungary-build-third-terminal-budapest-airport-economy-minister-says-2024-07-09" TargetMode="External"/><Relationship Id="rId69" Type="http://schemas.openxmlformats.org/officeDocument/2006/relationships/hyperlink" Target="https://hungarymatters.hu/2021/10/12/palkovics-hungary-at-worlds-biggest-intelligent-transport-systems-event-for-first-time/" TargetMode="External"/><Relationship Id="rId77" Type="http://schemas.openxmlformats.org/officeDocument/2006/relationships/hyperlink" Target="https://hungarytoday.hu/ministry-for-national-economy-sparks-initiative-for-families-to-purchase-evs/" TargetMode="External"/><Relationship Id="rId8" Type="http://schemas.openxmlformats.org/officeDocument/2006/relationships/hyperlink" Target="https://www.eib.org/en/press/all/2021-467-eib-signs-its-first-green-loan-in-hungary-to-unlock-eur300-million-for-improved-energy-efficiency-of-homes" TargetMode="External"/><Relationship Id="rId51" Type="http://schemas.openxmlformats.org/officeDocument/2006/relationships/hyperlink" Target="https://programme2014-20.interreg-central.eu/Content.Node/Pilot-nZEB-investment-in-Budapest-18th-District.html" TargetMode="External"/><Relationship Id="rId72" Type="http://schemas.openxmlformats.org/officeDocument/2006/relationships/hyperlink" Target="https://www.hu-ba.hu/wp-content/uploads/2024/01/Hungarian-National-Battery-Industry-Strategy-2030_ENG.pdf" TargetMode="External"/><Relationship Id="rId80" Type="http://schemas.openxmlformats.org/officeDocument/2006/relationships/hyperlink" Target="https://www.itf-oecd.org/sites/default/files/hungary-road-safety.pdf" TargetMode="External"/><Relationship Id="rId3" Type="http://schemas.openxmlformats.org/officeDocument/2006/relationships/hyperlink" Target="https://2010-2014.kormany.hu/download/7/d7/70000/Hungarian%20Energy%20Strategy%202030.pdf" TargetMode="External"/><Relationship Id="rId12" Type="http://schemas.openxmlformats.org/officeDocument/2006/relationships/hyperlink" Target="https://energy.ec.europa.eu/system/files/2022-10/HU_2022_Energy_Snapshot.pdf" TargetMode="External"/><Relationship Id="rId17" Type="http://schemas.openxmlformats.org/officeDocument/2006/relationships/hyperlink" Target="https://fgsz.hu/en/home/news/new-interconnection-agreement-between-eustream-slovakia-and-fgsz-hungary.html" TargetMode="External"/><Relationship Id="rId25" Type="http://schemas.openxmlformats.org/officeDocument/2006/relationships/hyperlink" Target="https://www.nucleareurope.eu/press-release/paks-ii-strong-positive-signal-future-nuclear-investments-europe/" TargetMode="External"/><Relationship Id="rId33" Type="http://schemas.openxmlformats.org/officeDocument/2006/relationships/hyperlink" Target="https://www.world-nuclear-news.org/Articles/Construction-schedule-agreed-for-Paks-II-in-Hungar" TargetMode="External"/><Relationship Id="rId38" Type="http://schemas.openxmlformats.org/officeDocument/2006/relationships/hyperlink" Target="https://trans.info/en/hungary-to-open-first-public-hydrogen-filling-station-377190" TargetMode="External"/><Relationship Id="rId46" Type="http://schemas.openxmlformats.org/officeDocument/2006/relationships/hyperlink" Target="https://abouthungary.hu/news-in-brief/energy-ministry-submits-revised-national-energy-and-climate-plan" TargetMode="External"/><Relationship Id="rId59" Type="http://schemas.openxmlformats.org/officeDocument/2006/relationships/hyperlink" Target="https://www.hu-ba.hu/wp-content/uploads/2024/01/Hungarian-National-Battery-Industry-Strategy-2030_ENG.pdf" TargetMode="External"/><Relationship Id="rId67" Type="http://schemas.openxmlformats.org/officeDocument/2006/relationships/hyperlink" Target="https://transport.ec.europa.eu/system/files/2018-12/2018_hu_its_progress_report_2017.pdf" TargetMode="External"/><Relationship Id="rId20" Type="http://schemas.openxmlformats.org/officeDocument/2006/relationships/hyperlink" Target="https://www.reuters.com/markets/europe/hungary-says-eu-not-doing-enough-end-russian-gas-dependence-2024-09-18" TargetMode="External"/><Relationship Id="rId41" Type="http://schemas.openxmlformats.org/officeDocument/2006/relationships/hyperlink" Target="https://energy.ec.europa.eu/system/files/2022-08/hu_final_necp_main_en.pdf" TargetMode="External"/><Relationship Id="rId54" Type="http://schemas.openxmlformats.org/officeDocument/2006/relationships/hyperlink" Target="https://ceenergynews.com/transport/hungary-adopts-national-battery-strategy/" TargetMode="External"/><Relationship Id="rId62" Type="http://schemas.openxmlformats.org/officeDocument/2006/relationships/hyperlink" Target="https://hungarytoday.hu/huf-2000-billion-in-eu-funds-to-boost-railway-development/" TargetMode="External"/><Relationship Id="rId70" Type="http://schemas.openxmlformats.org/officeDocument/2006/relationships/hyperlink" Target="https://aofk.hu/wp-content/uploads/2024/01/kerekparos-strategia_eng.pdf" TargetMode="External"/><Relationship Id="rId75" Type="http://schemas.openxmlformats.org/officeDocument/2006/relationships/hyperlink" Target="https://www.electrive.com/2023/10/24/hungary-introduces-new-e-mobility-subsidy-package/" TargetMode="External"/><Relationship Id="rId1" Type="http://schemas.openxmlformats.org/officeDocument/2006/relationships/hyperlink" Target="https://eionet.kormany.hu/download/c/32/d2000/NTFS%20-%20HU.pdf" TargetMode="External"/><Relationship Id="rId6" Type="http://schemas.openxmlformats.org/officeDocument/2006/relationships/hyperlink" Target="https://bbj.hu/economy/energy/green-energy/solar-energy-capacity-reaches-5-649-mw/" TargetMode="External"/><Relationship Id="rId15" Type="http://schemas.openxmlformats.org/officeDocument/2006/relationships/hyperlink" Target="https://projects.3seas.eu/projects/bosiljevo-sisak-kozarac-slobodnica-gas-pipeline" TargetMode="External"/><Relationship Id="rId23" Type="http://schemas.openxmlformats.org/officeDocument/2006/relationships/hyperlink" Target="https://hupx.hu/en/articles/de-at-pl-4m-mc-interim-coupling-project-go-live-a-new-era-begins/143" TargetMode="External"/><Relationship Id="rId28" Type="http://schemas.openxmlformats.org/officeDocument/2006/relationships/hyperlink" Target="https://www.politico.eu/article/paks-ii-secures-final-brussels-approval/" TargetMode="External"/><Relationship Id="rId36" Type="http://schemas.openxmlformats.org/officeDocument/2006/relationships/hyperlink" Target="https://cdn.kormany.hu/uploads/document/a/a2/a2b/a2b2b7ed5179b17694659b8f050ba9648e75a0bf.pdf" TargetMode="External"/><Relationship Id="rId49" Type="http://schemas.openxmlformats.org/officeDocument/2006/relationships/hyperlink" Target="https://commission.europa.eu/system/files/2023-12/Recommendation_draft_updated_NECP_Hungary_2023.pdf" TargetMode="External"/><Relationship Id="rId57" Type="http://schemas.openxmlformats.org/officeDocument/2006/relationships/hyperlink" Target="https://commission.europa.eu/strategy-and-policy/priorities-2019-2024/european-green-deal/delivering-european-green-deal/fit-55-delivering-proposals_en" TargetMode="External"/><Relationship Id="rId10" Type="http://schemas.openxmlformats.org/officeDocument/2006/relationships/hyperlink" Target="https://ec.europa.eu/commission/presscorner/api/files/document/print/en/ip_23_5991/IP_23_5991_EN.pdf" TargetMode="External"/><Relationship Id="rId31" Type="http://schemas.openxmlformats.org/officeDocument/2006/relationships/hyperlink" Target="https://hungarytoday.hu/paks-ii-nuclear-plant-construction-works-hit-key-milestone/" TargetMode="External"/><Relationship Id="rId44" Type="http://schemas.openxmlformats.org/officeDocument/2006/relationships/hyperlink" Target="https://energy.ec.europa.eu/system/files/2023-05/hungary_en.pdf" TargetMode="External"/><Relationship Id="rId52" Type="http://schemas.openxmlformats.org/officeDocument/2006/relationships/hyperlink" Target="https://eionet.kormany.hu/download/1/46/c1000/03_Bibok_Jedlik_Anyos_Terv.pdf" TargetMode="External"/><Relationship Id="rId60" Type="http://schemas.openxmlformats.org/officeDocument/2006/relationships/hyperlink" Target="https://cdn.kormany.hu/uploads/document/a/a2/a2b/a2b2b7ed5179b17694659b8f050ba9648e75a0bf.pdf" TargetMode="External"/><Relationship Id="rId65" Type="http://schemas.openxmlformats.org/officeDocument/2006/relationships/hyperlink" Target="https://www.railway.supply/en/budapest-bucharest-breakthrough-in-high-speed-rail-new-details-and-project-costs/" TargetMode="External"/><Relationship Id="rId73" Type="http://schemas.openxmlformats.org/officeDocument/2006/relationships/hyperlink" Target="https://2015-2019.kormany.hu/hu/innovacios-es-technologiai-miniszterium/fenntarthatosagert-felelos-allamtitkarsag/hirek/az-elektromobilitas-gyorsabb-terjedeset-szolgalja-a-jedlik-anyos-terv-2-0" TargetMode="External"/><Relationship Id="rId78" Type="http://schemas.openxmlformats.org/officeDocument/2006/relationships/hyperlink" Target="https://hungarytoday.hu/new-transport-action-plan-to-facilitate-greentransition/" TargetMode="External"/><Relationship Id="rId81" Type="http://schemas.openxmlformats.org/officeDocument/2006/relationships/hyperlink" Target="https://www.rvo.nl/sites/default/files/2021/04/Smart-sustainable-mobility-market-Hungary.pdf" TargetMode="External"/><Relationship Id="rId4" Type="http://schemas.openxmlformats.org/officeDocument/2006/relationships/hyperlink" Target="https://cdn.kormany.hu/uploads/document/a/a2/a2b/a2b2b7ed5179b17694659b8f050ba9648e75a0bf.pdf" TargetMode="External"/><Relationship Id="rId9" Type="http://schemas.openxmlformats.org/officeDocument/2006/relationships/hyperlink" Target="https://ec.europa.eu/commission/presscorner/api/files/document/print/en/ip_23_3851/IP_23_3851_EN.pdf" TargetMode="External"/><Relationship Id="rId13" Type="http://schemas.openxmlformats.org/officeDocument/2006/relationships/hyperlink" Target="https://ceenergynews.com/lng/krk-lng-terminal-receives-new-capacity-booking-from-mfgk-croatia/" TargetMode="External"/><Relationship Id="rId18" Type="http://schemas.openxmlformats.org/officeDocument/2006/relationships/hyperlink" Target="https://bbj.hu/economy/energy/energy-trade/hungary-romania-agree-to-boost-gas-interconnector-capacity/" TargetMode="External"/><Relationship Id="rId39" Type="http://schemas.openxmlformats.org/officeDocument/2006/relationships/hyperlink" Target="https://www.themayor.eu/en/a/view/hungary-launches-first-hydrogen-bus-route-in-budapest-9906?trans=en-US" TargetMode="External"/><Relationship Id="rId34" Type="http://schemas.openxmlformats.org/officeDocument/2006/relationships/hyperlink" Target="https://mfgt.hu/en" TargetMode="External"/><Relationship Id="rId50" Type="http://schemas.openxmlformats.org/officeDocument/2006/relationships/hyperlink" Target="https://energy.ec.europa.eu/document/download/6118677a-cb46-4e8f-848e-9f4340571f9f_cs" TargetMode="External"/><Relationship Id="rId55" Type="http://schemas.openxmlformats.org/officeDocument/2006/relationships/hyperlink" Target="https://hungarytoday.hu/ministry-for-national-economy-sparks-initiative-for-families-to-purchase-evs/" TargetMode="External"/><Relationship Id="rId76" Type="http://schemas.openxmlformats.org/officeDocument/2006/relationships/hyperlink" Target="https://ceenergynews.com/transport/hungary-adopts-national-battery-strategy/" TargetMode="External"/><Relationship Id="rId7" Type="http://schemas.openxmlformats.org/officeDocument/2006/relationships/hyperlink" Target="https://commission.europa.eu/system/files/2023-09/HUNGARY%20-%20DRAFT%20UPDATED%20NECP%202021-2030%20_EN.pdf" TargetMode="External"/><Relationship Id="rId71" Type="http://schemas.openxmlformats.org/officeDocument/2006/relationships/hyperlink" Target="https://www.hu-ba.hu/wp-content/uploads/2024/01/Hungarian-National-Battery-Industry-Strategy-2030_ENG.pdf" TargetMode="External"/><Relationship Id="rId2" Type="http://schemas.openxmlformats.org/officeDocument/2006/relationships/hyperlink" Target="https://magyarkozlony.hu/dokumentumok/6bcb816077f795960249fcc31c699245299be2da/letoltes" TargetMode="External"/><Relationship Id="rId29" Type="http://schemas.openxmlformats.org/officeDocument/2006/relationships/hyperlink" Target="https://telex.hu/english/2023/05/25/european-commission-gives-green-light-to-paks-ii-contract-modification" TargetMode="External"/><Relationship Id="rId24" Type="http://schemas.openxmlformats.org/officeDocument/2006/relationships/hyperlink" Target="https://www.schoenherr.eu/content/hungary-launches-new-cfd-support-scheme-targeting-electricity-storage-operators/" TargetMode="External"/><Relationship Id="rId40" Type="http://schemas.openxmlformats.org/officeDocument/2006/relationships/hyperlink" Target="https://hungarymatters.hu/2023/05/09/minister-hungary-embarks-on-new-era-in-energy-hydrogen-economy/" TargetMode="External"/><Relationship Id="rId45" Type="http://schemas.openxmlformats.org/officeDocument/2006/relationships/hyperlink" Target="https://commission.europa.eu/publications/hungary-final-updated-necp-2021-2030-submitted-2024_en" TargetMode="External"/><Relationship Id="rId66" Type="http://schemas.openxmlformats.org/officeDocument/2006/relationships/hyperlink" Target="https://transport.ec.europa.eu/system/files/2018-12/2018_hu_its_progress_report_2017.pdf"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fFiW0NUlxuOwNZIPcy8Fmoek3w==">CgMxLjAyCGguZ2pkZ3hzMgloLjMwajB6bGwyDmgudXQ5aW5mOGoxdjM0Mg5oLndlZDl0aGo0YjFlejIJaC4xZm9iOXRlMg5oLjZtbHE5NGY2bjkzMTIOaC4zZGozNHEyYXA4NWkyDmguYmQxZ3hvemIwb2oxMgloLjN6bnlzaDcyDmguaW5mZDlybGpyeWdpMg5oLmUyZ2ZrZWludG81czgAciExbXFKdFJfb2I1cVBJLWlqLTdLNmpsRGVfYjMybmtjR0E=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4" ma:contentTypeDescription="Crear nuevo documento." ma:contentTypeScope="" ma:versionID="b9109167342ae0231fa1713aa13d8f0f">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c9afff24e1cfef883e865b4a14f3bc3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FE4CA8-982F-4235-9AA3-1B37D2C842BF}"/>
</file>

<file path=customXml/itemProps3.xml><?xml version="1.0" encoding="utf-8"?>
<ds:datastoreItem xmlns:ds="http://schemas.openxmlformats.org/officeDocument/2006/customXml" ds:itemID="{E481A373-889F-4DE5-A6DF-BB0AB0388181}"/>
</file>

<file path=customXml/itemProps4.xml><?xml version="1.0" encoding="utf-8"?>
<ds:datastoreItem xmlns:ds="http://schemas.openxmlformats.org/officeDocument/2006/customXml" ds:itemID="{58E6A15D-B57B-4082-8B60-ADD7B17D3AB4}"/>
</file>

<file path=docProps/app.xml><?xml version="1.0" encoding="utf-8"?>
<Properties xmlns="http://schemas.openxmlformats.org/officeDocument/2006/extended-properties" xmlns:vt="http://schemas.openxmlformats.org/officeDocument/2006/docPropsVTypes">
  <Template>Normal</Template>
  <TotalTime>1</TotalTime>
  <Pages>31</Pages>
  <Words>11836</Words>
  <Characters>65104</Characters>
  <Application>Microsoft Office Word</Application>
  <DocSecurity>0</DocSecurity>
  <Lines>542</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Денислав Мечинов</dc:creator>
  <cp:lastModifiedBy>OLGA KOLOTOUCHKINA</cp:lastModifiedBy>
  <cp:revision>2</cp:revision>
  <dcterms:created xsi:type="dcterms:W3CDTF">2024-11-06T10:55:00Z</dcterms:created>
  <dcterms:modified xsi:type="dcterms:W3CDTF">2024-11-06T10:55:00Z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MediaServiceImageTags</vt:lpwstr>
  </property>
</Properties>
</file>