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A5CDD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518965C6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1F122E74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178CE399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130414B0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1E9A6EF1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259EE693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5C0052C4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13742058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noProof/>
          <w:sz w:val="26"/>
          <w:szCs w:val="26"/>
        </w:rPr>
        <w:drawing>
          <wp:anchor distT="0" distB="0" distL="114300" distR="114300" simplePos="0" relativeHeight="4" behindDoc="0" locked="0" layoutInCell="1" allowOverlap="1" wp14:anchorId="40063BE1" wp14:editId="4A33F976">
            <wp:simplePos x="0" y="0"/>
            <wp:positionH relativeFrom="column">
              <wp:posOffset>981699</wp:posOffset>
            </wp:positionH>
            <wp:positionV relativeFrom="paragraph">
              <wp:posOffset>110550</wp:posOffset>
            </wp:positionV>
            <wp:extent cx="3985229" cy="4123121"/>
            <wp:effectExtent l="0" t="0" r="0" b="0"/>
            <wp:wrapSquare wrapText="bothSides"/>
            <wp:docPr id="394499800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5229" cy="4123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097C19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2BEACAC3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69716218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3DCD28F5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02A90A9C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2A08C0B7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2CD5EF3F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2648084C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34731F3B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3F81E92F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75DB863D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01B9CE05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50215308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297B431C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78CA548C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051A74BA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62FCAC68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126EEB66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444964D2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4EADB20B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78941D18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652D1E66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0EF4127D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4475FA4F" w14:textId="77777777" w:rsidR="003376D6" w:rsidRDefault="004438CF">
      <w:pPr>
        <w:pStyle w:val="Standard"/>
        <w:jc w:val="center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sz w:val="26"/>
          <w:szCs w:val="26"/>
        </w:rPr>
        <w:t>CYBERSTER INTERNSHIP</w:t>
      </w:r>
    </w:p>
    <w:p w14:paraId="7D108BAD" w14:textId="77777777" w:rsidR="003376D6" w:rsidRDefault="003376D6">
      <w:pPr>
        <w:pStyle w:val="Standard"/>
        <w:jc w:val="center"/>
        <w:rPr>
          <w:rFonts w:ascii="Carlito" w:hAnsi="Carlito" w:hint="eastAsia"/>
          <w:sz w:val="26"/>
          <w:szCs w:val="26"/>
        </w:rPr>
      </w:pPr>
    </w:p>
    <w:p w14:paraId="7ECB6A06" w14:textId="77777777" w:rsidR="003376D6" w:rsidRDefault="004438CF">
      <w:pPr>
        <w:pStyle w:val="Standard"/>
        <w:jc w:val="center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sz w:val="26"/>
          <w:szCs w:val="26"/>
        </w:rPr>
        <w:t>WEEK 4 REPORT</w:t>
      </w:r>
    </w:p>
    <w:p w14:paraId="5CAF63E3" w14:textId="77777777" w:rsidR="003376D6" w:rsidRDefault="004438CF">
      <w:pPr>
        <w:pStyle w:val="Standard"/>
        <w:jc w:val="center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sz w:val="26"/>
          <w:szCs w:val="26"/>
        </w:rPr>
        <w:t>PRUDENCE NTHENYA</w:t>
      </w:r>
    </w:p>
    <w:p w14:paraId="4F97D11B" w14:textId="77777777" w:rsidR="003376D6" w:rsidRDefault="003376D6">
      <w:pPr>
        <w:pStyle w:val="Standard"/>
        <w:jc w:val="center"/>
        <w:rPr>
          <w:rFonts w:ascii="Carlito" w:hAnsi="Carlito" w:hint="eastAsia"/>
          <w:sz w:val="26"/>
          <w:szCs w:val="26"/>
        </w:rPr>
      </w:pPr>
    </w:p>
    <w:p w14:paraId="0E3DEA41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7850733C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4161CAC5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5FACB8B6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00371376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5BF23436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75C9EB1C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5E4D842F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5ED4F862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2B49A45D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433358AE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23DDDD56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1180E2B8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18866258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767797F7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650DE24D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60AFA2AD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4D00A69B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2D046765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1CFF546D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0A569F0F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3820C489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5C209D8D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6A4905A2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0E6A08C6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sz w:val="26"/>
          <w:szCs w:val="26"/>
        </w:rPr>
        <w:t>Program: Cyberster Blue Team Internship</w:t>
      </w:r>
    </w:p>
    <w:p w14:paraId="14DF3D25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sz w:val="26"/>
          <w:szCs w:val="26"/>
        </w:rPr>
        <w:t>Phase: Phase One — SOC Operations and SIEM Foundations</w:t>
      </w:r>
    </w:p>
    <w:p w14:paraId="5339642B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sz w:val="26"/>
          <w:szCs w:val="26"/>
        </w:rPr>
        <w:t>Reporting Period: Days 22 – 28</w:t>
      </w:r>
    </w:p>
    <w:p w14:paraId="5BC4BA82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sz w:val="26"/>
          <w:szCs w:val="26"/>
        </w:rPr>
        <w:t xml:space="preserve">Subject: pfSense Deployment, Threat Intelligence, and Vulnerability Management  </w:t>
      </w:r>
    </w:p>
    <w:p w14:paraId="2533F4DB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5545310D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5A77A21A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sz w:val="26"/>
          <w:szCs w:val="26"/>
        </w:rPr>
        <w:t>Prudence Nthenya</w:t>
      </w:r>
    </w:p>
    <w:p w14:paraId="3A92AC3E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sz w:val="26"/>
          <w:szCs w:val="26"/>
        </w:rPr>
        <w:t>CSI-B1-479</w:t>
      </w:r>
    </w:p>
    <w:p w14:paraId="27E69679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54277287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08618554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2044AAA7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055398EC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731E3773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69422CF0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2AC2DE43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10D57979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68A1D538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237DC360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2ABD0149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2FE704F8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4CB66174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0BC5844C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33711354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13FF4E71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4470FF1F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3DF81956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71F0C03F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3C0C2015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38378E63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465E2DC0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260E0B06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03C9AAB8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6AA6F789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2273206F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35AFF7C0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3AC047C8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sz w:val="26"/>
          <w:szCs w:val="26"/>
        </w:rPr>
        <w:t>1. EXECUTIVE SUMMARY</w:t>
      </w:r>
    </w:p>
    <w:p w14:paraId="7D8EA4FC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sz w:val="26"/>
          <w:szCs w:val="26"/>
        </w:rPr>
        <w:t xml:space="preserve">​Week 4 finalized the transition of the lab from a collection of monitored hosts into a structured Security Operations Center (SOC) environment. Key milestones included the deployment of a pfSense virtual firewall to manage network segmentation, the integration of external threat intelligence (VirusTotal and MITRE ATT&amp;CK), and the implementation of automated vulnerability assessment. The week concluded with the development of custom SOC dashboards and executive reporting to communicate security posture to diverse stakeholders.  </w:t>
      </w:r>
    </w:p>
    <w:p w14:paraId="645C55E0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455755A8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427DDB5C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71551D47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69512A39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69CDA917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11DCD623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600FBD14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56D5833A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5818358A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33CAD76F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07B7912C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28490247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13E9279A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72A0EF32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23055078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1DECD673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21EBBEDD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6C05E9E4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39EAC637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7EC30584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1AB79B7B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10D48132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436D27E4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4DA02FAB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155184CC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73603922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4D7CC1F1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4629064E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2EE3AA51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6F099FF1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5F49DB6E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2F7406F8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113C232D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4B1E28F9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5F16B810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05A03554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6E2A8020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sz w:val="26"/>
          <w:szCs w:val="26"/>
        </w:rPr>
        <w:t>​2. pfSENSE FIREWALL DEPLOYMENT (DAYS 22-23)</w:t>
      </w:r>
    </w:p>
    <w:p w14:paraId="6F8236B2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sz w:val="26"/>
          <w:szCs w:val="26"/>
        </w:rPr>
        <w:t xml:space="preserve">​Objective: Establish a controlled network perimeter by routing all lab traffic through a dedicated firewall.  </w:t>
      </w:r>
    </w:p>
    <w:p w14:paraId="71793A3B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52BBD51B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46F5F730" wp14:editId="6518C5AD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3442350"/>
            <wp:effectExtent l="0" t="0" r="0" b="5700"/>
            <wp:wrapSquare wrapText="bothSides"/>
            <wp:docPr id="902435418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3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EB4767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sz w:val="26"/>
          <w:szCs w:val="26"/>
        </w:rPr>
        <w:t>​2.1 Network Topology Realignment</w:t>
      </w:r>
    </w:p>
    <w:p w14:paraId="7F1EDEAE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sz w:val="26"/>
          <w:szCs w:val="26"/>
        </w:rPr>
        <w:t xml:space="preserve">​The lab architecture was shifted from a flat network to a segmented model:  </w:t>
      </w:r>
    </w:p>
    <w:p w14:paraId="5E51B61D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sz w:val="26"/>
          <w:szCs w:val="26"/>
        </w:rPr>
        <w:t xml:space="preserve">​WAN Interface: Connects pfSense to the external network/internet.  </w:t>
      </w:r>
    </w:p>
    <w:p w14:paraId="7FC46EF1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sz w:val="26"/>
          <w:szCs w:val="26"/>
        </w:rPr>
        <w:t xml:space="preserve">​LAN Interface: Connects to the internal Host-Only network containing the Ubuntu, Windows, and Kali VMs.  </w:t>
      </w:r>
    </w:p>
    <w:p w14:paraId="2DE10FC9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sz w:val="26"/>
          <w:szCs w:val="26"/>
        </w:rPr>
        <w:t xml:space="preserve">​Gateway Configuration: All VMs were reconfigured to use the pfSense LAN IP as their default gateway, ensuring all inter-VM and outbound traffic is inspected by the firewall.  </w:t>
      </w:r>
    </w:p>
    <w:p w14:paraId="2E274BA4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02646481" wp14:editId="6070567E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3442350"/>
            <wp:effectExtent l="0" t="0" r="0" b="5700"/>
            <wp:wrapSquare wrapText="bothSides"/>
            <wp:docPr id="1044304060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3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8DA034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3847CBA0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355B7FB5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sz w:val="26"/>
          <w:szCs w:val="26"/>
        </w:rPr>
        <w:t>​2.2 SIEM Integration</w:t>
      </w:r>
    </w:p>
    <w:p w14:paraId="123F20A4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sz w:val="26"/>
          <w:szCs w:val="26"/>
        </w:rPr>
        <w:t xml:space="preserve">​Syslog Forwarding: pfSense was configured to export system and firewall logs to the Wazuh Manager via UDP Port 514.  </w:t>
      </w:r>
    </w:p>
    <w:p w14:paraId="1AD3FDE9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sz w:val="26"/>
          <w:szCs w:val="26"/>
        </w:rPr>
        <w:t xml:space="preserve">​Visibility: Custom firewall rules were created with logging enabled to track traffic between internal segments, providing "North-South" and "East-West" visibility within the Wazuh dashboard.  </w:t>
      </w:r>
    </w:p>
    <w:p w14:paraId="51C08E50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63207584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sz w:val="26"/>
          <w:szCs w:val="26"/>
        </w:rPr>
        <w:t>​3. THREAT INTELLIGENCE &amp; ENRICHMENT (DAYS 24-25)</w:t>
      </w:r>
    </w:p>
    <w:p w14:paraId="6F493CB7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sz w:val="26"/>
          <w:szCs w:val="26"/>
        </w:rPr>
        <w:t xml:space="preserve">​Objective: Enrich raw detection alerts with external context to improve response prioritization.  </w:t>
      </w:r>
    </w:p>
    <w:p w14:paraId="67AB2AAB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2C90DB6E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sz w:val="26"/>
          <w:szCs w:val="26"/>
        </w:rPr>
        <w:t>​3.1 VirusTotal Integration</w:t>
      </w:r>
    </w:p>
    <w:p w14:paraId="4C3EE7B9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sz w:val="26"/>
          <w:szCs w:val="26"/>
        </w:rPr>
        <w:t xml:space="preserve">​Function: Configured the Wazuh Manager to automatically submit file hashes detected by File Integrity Monitoring (FIM) to VirusTotal.  </w:t>
      </w:r>
    </w:p>
    <w:p w14:paraId="244C791A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sz w:val="26"/>
          <w:szCs w:val="26"/>
        </w:rPr>
        <w:t xml:space="preserve">​Outcome: Alerts now include a "malicious" score, instantly identifying if a changed file is known malware.  </w:t>
      </w:r>
    </w:p>
    <w:p w14:paraId="24CEAC92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noProof/>
          <w:sz w:val="26"/>
          <w:szCs w:val="26"/>
        </w:rPr>
        <w:drawing>
          <wp:anchor distT="0" distB="0" distL="114300" distR="114300" simplePos="0" relativeHeight="2" behindDoc="0" locked="0" layoutInCell="1" allowOverlap="1" wp14:anchorId="50B3115E" wp14:editId="00AE1BB8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3442350"/>
            <wp:effectExtent l="0" t="0" r="0" b="5700"/>
            <wp:wrapSquare wrapText="bothSides"/>
            <wp:docPr id="1693317745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3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BF1384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sz w:val="26"/>
          <w:szCs w:val="26"/>
        </w:rPr>
        <w:t>​3.2 MITRE ATT&amp;CK Mapping</w:t>
      </w:r>
    </w:p>
    <w:p w14:paraId="685C6473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sz w:val="26"/>
          <w:szCs w:val="26"/>
        </w:rPr>
        <w:t xml:space="preserve">​Framework Alignment: Enabled the built-in MITRE ATT&amp;CK module to map alerts (e.g., SSH Brute Force, Nmap scans) to standardized adversary techniques.  </w:t>
      </w:r>
    </w:p>
    <w:p w14:paraId="3B868424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sz w:val="26"/>
          <w:szCs w:val="26"/>
        </w:rPr>
        <w:t xml:space="preserve">​Analysis: Identified at least three techniques (e.g., Brute Force, Network Service Scanning) to visualize the simulated attacker's behavior.  </w:t>
      </w:r>
    </w:p>
    <w:p w14:paraId="3288364A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sz w:val="26"/>
          <w:szCs w:val="26"/>
        </w:rPr>
        <w:t>​3.3 Indicators of Compromise (IOC) Lists</w:t>
      </w:r>
    </w:p>
    <w:p w14:paraId="2E978D3A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sz w:val="26"/>
          <w:szCs w:val="26"/>
        </w:rPr>
        <w:t xml:space="preserve">​CDB Lists: Implemented Wazuh Constant Database (CDB) lists to store threat feeds from URLhaus and Abuse.ch.  </w:t>
      </w:r>
    </w:p>
    <w:p w14:paraId="0711A378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sz w:val="26"/>
          <w:szCs w:val="26"/>
        </w:rPr>
        <w:t xml:space="preserve">​Active Matching: Rules were authored to trigger alerts when network traffic matches an IP or domain found in these external blacklists.  </w:t>
      </w:r>
    </w:p>
    <w:p w14:paraId="4AB8EB50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33284929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2B8B6F5B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1F3BB826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51144539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sz w:val="26"/>
          <w:szCs w:val="26"/>
        </w:rPr>
        <w:t>4. VULNERABILITY ASSESSMENT (DAYS 26-27)</w:t>
      </w:r>
    </w:p>
    <w:p w14:paraId="11B0771F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sz w:val="26"/>
          <w:szCs w:val="26"/>
        </w:rPr>
        <w:t xml:space="preserve">​Objective: Transition from reactive detection to proactive risk management.  </w:t>
      </w:r>
    </w:p>
    <w:p w14:paraId="39D6AAD1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7B63E37F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421B7B98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sz w:val="26"/>
          <w:szCs w:val="26"/>
        </w:rPr>
        <w:t>​4.1 Automated Scanning</w:t>
      </w:r>
    </w:p>
    <w:p w14:paraId="336144D2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sz w:val="26"/>
          <w:szCs w:val="26"/>
        </w:rPr>
        <w:t xml:space="preserve">​NVD Integration: Enabled the Wazuh Vulnerability Detection module, which correlates agent software inventory against the National Vulnerability Database (NVD).  </w:t>
      </w:r>
    </w:p>
    <w:p w14:paraId="3599F485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sz w:val="26"/>
          <w:szCs w:val="26"/>
        </w:rPr>
        <w:t xml:space="preserve">​Agent Inventory: Verified that Syscollector was active on both Windows and Linux agents to provide an accurate list of installed packages.  </w:t>
      </w:r>
    </w:p>
    <w:p w14:paraId="6E46700D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1F45857B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sz w:val="26"/>
          <w:szCs w:val="26"/>
        </w:rPr>
        <w:t>​4.2 Prioritization and Remediation</w:t>
      </w:r>
    </w:p>
    <w:p w14:paraId="491E8298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sz w:val="26"/>
          <w:szCs w:val="26"/>
        </w:rPr>
        <w:t xml:space="preserve">​CVSS Scoring: Findings were categorized by Common Vulnerability Scoring System (CVSS) scores, prioritizing "Critical" (9.0+) and "High" (7.0+) risks.  </w:t>
      </w:r>
    </w:p>
    <w:p w14:paraId="3284E2ED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sz w:val="26"/>
          <w:szCs w:val="26"/>
        </w:rPr>
        <w:t>​Remediation Loop: A "patch-and-verify" cycle was performed on the Linux agent. After updating a vulnerable package, a rescan confirmed the removal of the associated CVE from the dashboard.</w:t>
      </w:r>
    </w:p>
    <w:p w14:paraId="2F02728B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0BF10D2D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noProof/>
          <w:sz w:val="26"/>
          <w:szCs w:val="26"/>
        </w:rPr>
        <w:drawing>
          <wp:anchor distT="0" distB="0" distL="114300" distR="114300" simplePos="0" relativeHeight="3" behindDoc="0" locked="0" layoutInCell="1" allowOverlap="1" wp14:anchorId="326A09C8" wp14:editId="2906106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3442350"/>
            <wp:effectExtent l="0" t="0" r="0" b="5700"/>
            <wp:wrapSquare wrapText="bothSides"/>
            <wp:docPr id="478054771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3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93202F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sz w:val="26"/>
          <w:szCs w:val="26"/>
        </w:rPr>
        <w:t>5. SOC DASHBOARDS &amp; REPORTING (DAY 28)</w:t>
      </w:r>
    </w:p>
    <w:p w14:paraId="5C4684B0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sz w:val="26"/>
          <w:szCs w:val="26"/>
        </w:rPr>
        <w:t xml:space="preserve">​Objective: Transform raw security data into actionable intelligence for different audiences.  </w:t>
      </w:r>
    </w:p>
    <w:p w14:paraId="185D3712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4B166CEE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sz w:val="26"/>
          <w:szCs w:val="26"/>
        </w:rPr>
        <w:t>​5.1 Custom SOC Dashboard</w:t>
      </w:r>
    </w:p>
    <w:p w14:paraId="365DB390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sz w:val="26"/>
          <w:szCs w:val="26"/>
        </w:rPr>
        <w:t xml:space="preserve">​A high-visibility dashboard was constructed in Wazuh featuring:  </w:t>
      </w:r>
    </w:p>
    <w:p w14:paraId="43BE71A1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sz w:val="26"/>
          <w:szCs w:val="26"/>
        </w:rPr>
        <w:t xml:space="preserve">​Alert Severity Breakdown: 7-day trend of alert levels.  </w:t>
      </w:r>
    </w:p>
    <w:p w14:paraId="7C1A10EA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sz w:val="26"/>
          <w:szCs w:val="26"/>
        </w:rPr>
        <w:t xml:space="preserve">​Agent Health: Real-time status of all lab endpoints.  </w:t>
      </w:r>
    </w:p>
    <w:p w14:paraId="0F07E2A3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sz w:val="26"/>
          <w:szCs w:val="26"/>
        </w:rPr>
        <w:t xml:space="preserve">​Top 10 Triggered Rules: Identifying the most frequent security events.  </w:t>
      </w:r>
    </w:p>
    <w:p w14:paraId="3C8E43D5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sz w:val="26"/>
          <w:szCs w:val="26"/>
        </w:rPr>
        <w:t xml:space="preserve">​Geographic Map: Visualizing the origin of source IPs.  </w:t>
      </w:r>
    </w:p>
    <w:p w14:paraId="38CD1A32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2F72C582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sz w:val="26"/>
          <w:szCs w:val="26"/>
        </w:rPr>
        <w:t>​5.2 Multi-Level Reporting</w:t>
      </w:r>
    </w:p>
    <w:p w14:paraId="610FE1CB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sz w:val="26"/>
          <w:szCs w:val="26"/>
        </w:rPr>
        <w:t xml:space="preserve">​Technical SOC Summary: A deep-dive document for analysts, detailing authentication failures, FIM events, and specific NIDS alerts from Suricata.  </w:t>
      </w:r>
    </w:p>
    <w:p w14:paraId="39561338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sz w:val="26"/>
          <w:szCs w:val="26"/>
        </w:rPr>
        <w:t xml:space="preserve">​Executive Summary: A concise, jargon-free one-page report for management, highlighting the overall risk posture and key remediation recommendations (e.g., patching critical vulnerabilities found during scanning).  </w:t>
      </w:r>
    </w:p>
    <w:p w14:paraId="362C2974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573F2660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2CB0058C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sz w:val="26"/>
          <w:szCs w:val="26"/>
        </w:rPr>
        <w:t>​</w:t>
      </w:r>
    </w:p>
    <w:p w14:paraId="77D18913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3C84871A" w14:textId="77777777" w:rsidR="003376D6" w:rsidRDefault="003376D6">
      <w:pPr>
        <w:pStyle w:val="Standard"/>
        <w:rPr>
          <w:rFonts w:ascii="Carlito" w:hAnsi="Carlito" w:hint="eastAsia"/>
          <w:sz w:val="26"/>
          <w:szCs w:val="26"/>
        </w:rPr>
      </w:pPr>
    </w:p>
    <w:p w14:paraId="433FCB2F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sz w:val="26"/>
          <w:szCs w:val="26"/>
        </w:rPr>
        <w:t>6. CONCLUSION</w:t>
      </w:r>
    </w:p>
    <w:p w14:paraId="0162A2A5" w14:textId="77777777" w:rsidR="003376D6" w:rsidRDefault="004438CF">
      <w:pPr>
        <w:pStyle w:val="Standard"/>
        <w:rPr>
          <w:rFonts w:ascii="Carlito" w:hAnsi="Carlito" w:hint="eastAsia"/>
          <w:sz w:val="26"/>
          <w:szCs w:val="26"/>
        </w:rPr>
      </w:pPr>
      <w:r>
        <w:rPr>
          <w:rFonts w:ascii="Carlito" w:hAnsi="Carlito"/>
          <w:sz w:val="26"/>
          <w:szCs w:val="26"/>
        </w:rPr>
        <w:t>​By the end of Week 4, the internship has produced a functional, end-to-end security operations environment. The lab now encompasses Perimeter Defense (pfSense), Intrusion Detection (Wazuh/Suricata), Threat Intelligence (VirusTotal/MITRE), and Vulnerability Management. This foundation prepares the analyst for complex incident response and security architecture tasks in a professional SOC.</w:t>
      </w:r>
    </w:p>
    <w:sectPr w:rsidR="003376D6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3A365" w14:textId="77777777" w:rsidR="004438CF" w:rsidRDefault="004438CF">
      <w:pPr>
        <w:rPr>
          <w:rFonts w:hint="eastAsia"/>
        </w:rPr>
      </w:pPr>
      <w:r>
        <w:separator/>
      </w:r>
    </w:p>
  </w:endnote>
  <w:endnote w:type="continuationSeparator" w:id="0">
    <w:p w14:paraId="4AB9CEC5" w14:textId="77777777" w:rsidR="004438CF" w:rsidRDefault="004438C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charset w:val="00"/>
    <w:family w:val="roman"/>
    <w:pitch w:val="variable"/>
  </w:font>
  <w:font w:name="Noto Serif CJK SC">
    <w:panose1 w:val="02020400000000000000"/>
    <w:charset w:val="80"/>
    <w:family w:val="roman"/>
    <w:pitch w:val="variable"/>
    <w:sig w:usb0="30000083" w:usb1="2BDF3C10" w:usb2="00000016" w:usb3="00000000" w:csb0="002E0107" w:csb1="00000000"/>
  </w:font>
  <w:font w:name="Noto Sans Devanagari">
    <w:panose1 w:val="00000000000000000000"/>
    <w:charset w:val="00"/>
    <w:family w:val="auto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panose1 w:val="020B0200000000000000"/>
    <w:charset w:val="80"/>
    <w:family w:val="swiss"/>
    <w:pitch w:val="variable"/>
    <w:sig w:usb0="30000083" w:usb1="2BDF3C10" w:usb2="00000016" w:usb3="00000000" w:csb0="002E0107" w:csb1="00000000"/>
  </w:font>
  <w:font w:name="Carlito">
    <w:altName w:val="Calibri"/>
    <w:charset w:val="00"/>
    <w:family w:val="swiss"/>
    <w:pitch w:val="variable"/>
  </w:font>
  <w:font w:name="Yu Gothic Light">
    <w:altName w:val="游ゴシック Light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AA413" w14:textId="77777777" w:rsidR="004438CF" w:rsidRDefault="004438CF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5B347D8D" w14:textId="77777777" w:rsidR="004438CF" w:rsidRDefault="004438C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9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6D6"/>
    <w:rsid w:val="00273398"/>
    <w:rsid w:val="003376D6"/>
    <w:rsid w:val="004438CF"/>
    <w:rsid w:val="00593EF9"/>
    <w:rsid w:val="00806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CF4BDE"/>
  <w15:docId w15:val="{F85E6112-8C07-42B5-AF07-E4EB7D67C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webSettings" Target="webSettings.xml" /><Relationship Id="rId7" Type="http://schemas.openxmlformats.org/officeDocument/2006/relationships/image" Target="media/image2.png" /><Relationship Id="rId12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jpeg" /><Relationship Id="rId11" Type="http://schemas.openxmlformats.org/officeDocument/2006/relationships/fontTable" Target="fontTable.xml" /><Relationship Id="rId5" Type="http://schemas.openxmlformats.org/officeDocument/2006/relationships/endnotes" Target="endnotes.xml" /><Relationship Id="rId10" Type="http://schemas.openxmlformats.org/officeDocument/2006/relationships/image" Target="media/image5.png" /><Relationship Id="rId4" Type="http://schemas.openxmlformats.org/officeDocument/2006/relationships/footnotes" Target="footnotes.xml" /><Relationship Id="rId9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760</Words>
  <Characters>4333</Characters>
  <Application>Microsoft Office Word</Application>
  <DocSecurity>0</DocSecurity>
  <Lines>36</Lines>
  <Paragraphs>10</Paragraphs>
  <ScaleCrop>false</ScaleCrop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prudence nthenya</cp:lastModifiedBy>
  <cp:revision>2</cp:revision>
  <dcterms:created xsi:type="dcterms:W3CDTF">2026-03-30T19:30:00Z</dcterms:created>
  <dcterms:modified xsi:type="dcterms:W3CDTF">2026-03-30T19:30:00Z</dcterms:modified>
</cp:coreProperties>
</file>