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People directories</w:t>
      </w:r>
    </w:p>
    <w:p>
      <w:pPr>
        <w:pStyle w:val="Subtitle"/>
      </w:pPr>
      <w:r>
        <w:t>A shared guide for institute communicators</w:t>
      </w:r>
    </w:p>
    <w:p>
      <w:r>
        <w:t>These proposed standards give visitors a consistent way to find people across institute websites, whatever theme the site uses. They apply to institute sites, not the Keough School website.</w:t>
      </w:r>
    </w:p>
    <w:p>
      <w:pPr>
        <w:pStyle w:val="Heading1"/>
      </w:pPr>
      <w:r>
        <w:t>1. Set up the directory</w:t>
      </w:r>
    </w:p>
    <w:p>
      <w:pPr>
        <w:pStyle w:val="Heading2"/>
      </w:pPr>
      <w:r>
        <w:t>Start with People in the main navigation</w:t>
      </w:r>
    </w:p>
    <w:p>
      <w:r>
        <w:t>Clicking People opens a page titled People Directory. No sidebar category is selected on this landing page.</w:t>
      </w:r>
    </w:p>
    <w:p>
      <w:pPr>
        <w:pStyle w:val="ListBullet"/>
      </w:pPr>
      <w:r>
        <w:t>Go straight to the profiles. Do not add a large introductory image or inset hero.</w:t>
      </w:r>
    </w:p>
    <w:p>
      <w:pPr>
        <w:pStyle w:val="ListBullet"/>
      </w:pPr>
      <w:r>
        <w:t>Use four profile columns on desktop, with fewer columns on smaller screens.</w:t>
      </w:r>
    </w:p>
    <w:p>
      <w:pPr>
        <w:pStyle w:val="ListBullet"/>
      </w:pPr>
      <w:r>
        <w:t>Show leadership first, then everyone else alphabetically by surname. List each person once.</w:t>
      </w:r>
    </w:p>
    <w:p>
      <w:pPr>
        <w:pStyle w:val="ListBullet"/>
      </w:pPr>
      <w:r>
        <w:t>Use five sidebar groups: Leadership, Faculty, Staff, Scholars &amp; Fellows, and Students.</w:t>
      </w:r>
    </w:p>
    <w:p>
      <w:pPr>
        <w:pStyle w:val="Heading2"/>
      </w:pPr>
      <w:r>
        <w:t>Add controls as the directory grows</w:t>
      </w:r>
    </w:p>
    <w:p>
      <w:r>
        <w:t>Use the same thresholds for the main directory and each category or subcategory listing.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6624"/>
        <w:gridCol w:w="2304"/>
      </w:tblGrid>
      <w:tr>
        <w:trPr>
          <w:cantSplit/>
          <w:tblHeader/>
        </w:trPr>
        <w:tc>
          <w:tcPr>
            <w:tcW w:type="dxa" w:w="1152"/>
            <w:shd w:fill="0C23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1"/>
              </w:rPr>
              <w:t>Profiles</w:t>
            </w:r>
          </w:p>
        </w:tc>
        <w:tc>
          <w:tcPr>
            <w:tcW w:type="dxa" w:w="6624"/>
            <w:shd w:fill="0C23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1"/>
              </w:rPr>
              <w:t>How to display them</w:t>
            </w:r>
          </w:p>
        </w:tc>
        <w:tc>
          <w:tcPr>
            <w:tcW w:type="dxa" w:w="2304"/>
            <w:shd w:fill="0C23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1–24</w:t>
            </w:r>
          </w:p>
        </w:tc>
        <w:tc>
          <w:tcPr>
            <w:tcW w:type="dxa" w:w="6624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Show everyone on one page.</w:t>
            </w:r>
          </w:p>
        </w:tc>
        <w:tc>
          <w:tcPr>
            <w:tcW w:type="dxa" w:w="2304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</w:r>
            <w:hyperlink r:id="rId11">
              <w:r>
                <w:rPr>
                  <w:color w:val="0563C1"/>
                  <w:u w:val="single"/>
                </w:rPr>
                <w:t>24 profiles</w:t>
              </w:r>
            </w:hyperlink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25–40</w:t>
            </w:r>
          </w:p>
        </w:tc>
        <w:tc>
          <w:tcPr>
            <w:tcW w:type="dxa" w:w="6624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Show 24 per page, with pagination.</w:t>
            </w:r>
          </w:p>
        </w:tc>
        <w:tc>
          <w:tcPr>
            <w:tcW w:type="dxa" w:w="2304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</w:r>
            <w:hyperlink r:id="rId12">
              <w:r>
                <w:rPr>
                  <w:color w:val="0563C1"/>
                  <w:u w:val="single"/>
                </w:rPr>
                <w:t>40 profiles</w:t>
              </w:r>
            </w:hyperlink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41 or more</w:t>
            </w:r>
          </w:p>
        </w:tc>
        <w:tc>
          <w:tcPr>
            <w:tcW w:type="dxa" w:w="6624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Show 24 per page, with pagination, search, and relevant filters.</w:t>
            </w:r>
          </w:p>
        </w:tc>
        <w:tc>
          <w:tcPr>
            <w:tcW w:type="dxa" w:w="2304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</w:r>
            <w:hyperlink r:id="rId13">
              <w:r>
                <w:rPr>
                  <w:color w:val="0563C1"/>
                  <w:u w:val="single"/>
                </w:rPr>
                <w:t>60 profiles</w:t>
              </w:r>
            </w:hyperlink>
          </w:p>
        </w:tc>
      </w:tr>
    </w:tbl>
    <w:p>
      <w:r>
        <w:t>Category and subcategory listings are alphabetical by surname. Only the main directory puts leadership first.</w:t>
      </w:r>
    </w:p>
    <w:p>
      <w:r>
        <w:t xml:space="preserve">See the directory in each theme: </w:t>
      </w:r>
      <w:hyperlink r:id="rId14">
        <w:r>
          <w:rPr>
            <w:color w:val="0563C1"/>
            <w:u w:val="single"/>
          </w:rPr>
          <w:t>NDT4</w:t>
        </w:r>
      </w:hyperlink>
      <w:r>
        <w:t xml:space="preserve">  ·  </w:t>
      </w:r>
      <w:hyperlink r:id="rId15">
        <w:r>
          <w:rPr>
            <w:color w:val="0563C1"/>
            <w:u w:val="single"/>
          </w:rPr>
          <w:t>NDT3</w:t>
        </w:r>
      </w:hyperlink>
      <w:r>
        <w:t xml:space="preserve">  ·  </w:t>
      </w:r>
      <w:hyperlink r:id="rId16">
        <w:r>
          <w:rPr>
            <w:color w:val="0563C1"/>
            <w:u w:val="single"/>
          </w:rPr>
          <w:t>Theme 2.4</w:t>
        </w:r>
      </w:hyperlink>
    </w:p>
    <w:p>
      <w:r>
        <w:br w:type="page"/>
      </w:r>
    </w:p>
    <w:p>
      <w:pPr>
        <w:pStyle w:val="Heading1"/>
      </w:pPr>
      <w:r>
        <w:t>2. Organize the groups</w:t>
      </w:r>
    </w:p>
    <w:p>
      <w:r>
        <w:t>Each sidebar category opens its own page. That page shows the category’s default group and reveals its additional groups in the sidebar.</w:t>
      </w:r>
    </w:p>
    <w:p>
      <w:pPr>
        <w:pStyle w:val="Heading2"/>
      </w:pPr>
      <w:r>
        <w:t>Keep category pages simple</w:t>
      </w:r>
    </w:p>
    <w:p>
      <w:pPr>
        <w:pStyle w:val="ListBullet"/>
      </w:pPr>
      <w:r>
        <w:t>Use one page title, such as Faculty or Advisory. Do not add introductory text or extra section headings above or between profiles. Keep names and role labels on the cards.</w:t>
      </w:r>
    </w:p>
    <w:p>
      <w:pPr>
        <w:pStyle w:val="ListBullet"/>
      </w:pPr>
      <w:r>
        <w:t>Show the default group directly. For example, Faculty shows core affiliated faculty; do not add a separate “Core Affiliated Faculty” heading or child link.</w:t>
      </w:r>
    </w:p>
    <w:p>
      <w:pPr>
        <w:pStyle w:val="ListBullet"/>
      </w:pPr>
      <w:r>
        <w:t>Reveal child groups only for the selected category. Keep other categories collapsed and mark the selected page.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168"/>
        <w:gridCol w:w="4968"/>
      </w:tblGrid>
      <w:tr>
        <w:trPr>
          <w:cantSplit/>
          <w:tblHeader/>
        </w:trPr>
        <w:tc>
          <w:tcPr>
            <w:tcW w:type="dxa" w:w="1944"/>
            <w:shd w:fill="0C23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3168"/>
            <w:shd w:fill="0C23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1"/>
              </w:rPr>
              <w:t>Who appears on the page</w:t>
            </w:r>
          </w:p>
        </w:tc>
        <w:tc>
          <w:tcPr>
            <w:tcW w:type="dxa" w:w="4968"/>
            <w:shd w:fill="0C2340"/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1"/>
              </w:rPr>
              <w:t>Additional groups in the sidebar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Leadership</w:t>
            </w:r>
          </w:p>
        </w:tc>
        <w:tc>
          <w:tcPr>
            <w:tcW w:type="dxa" w:w="3168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Institute leadership</w:t>
            </w:r>
          </w:p>
        </w:tc>
        <w:tc>
          <w:tcPr>
            <w:tcW w:type="dxa" w:w="4968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Advisory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Faculty</w:t>
            </w:r>
          </w:p>
        </w:tc>
        <w:tc>
          <w:tcPr>
            <w:tcW w:type="dxa" w:w="3168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Core affiliated faculty</w:t>
            </w:r>
          </w:p>
        </w:tc>
        <w:tc>
          <w:tcPr>
            <w:tcW w:type="dxa" w:w="4968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Faculty Fellows; Associated Faculty; Emeriti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Staff</w:t>
            </w:r>
          </w:p>
        </w:tc>
        <w:tc>
          <w:tcPr>
            <w:tcW w:type="dxa" w:w="3168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Institute staff</w:t>
            </w:r>
          </w:p>
        </w:tc>
        <w:tc>
          <w:tcPr>
            <w:tcW w:type="dxa" w:w="4968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None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Scholars &amp; Fellows</w:t>
            </w:r>
          </w:p>
        </w:tc>
        <w:tc>
          <w:tcPr>
            <w:tcW w:type="dxa" w:w="3168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Visiting scholars and fellows</w:t>
            </w:r>
          </w:p>
        </w:tc>
        <w:tc>
          <w:tcPr>
            <w:tcW w:type="dxa" w:w="4968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Postdoctoral Researchers; Affiliates; Past Scholars &amp; Fellows; PhDs on the market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Students</w:t>
            </w:r>
          </w:p>
        </w:tc>
        <w:tc>
          <w:tcPr>
            <w:tcW w:type="dxa" w:w="3168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Undergraduate and graduate students, excluding PhD students</w:t>
            </w:r>
          </w:p>
        </w:tc>
        <w:tc>
          <w:tcPr>
            <w:tcW w:type="dxa" w:w="4968"/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PhD</w:t>
            </w:r>
          </w:p>
        </w:tc>
      </w:tr>
    </w:tbl>
    <w:p>
      <w:pPr>
        <w:pStyle w:val="Heading2"/>
      </w:pPr>
      <w:r>
        <w:t>Give navigation, search, and filters different jobs</w:t>
      </w:r>
    </w:p>
    <w:p>
      <w:pPr>
        <w:pStyle w:val="ListBullet"/>
      </w:pPr>
      <w:r>
        <w:t>Sidebar: move to a different group, such as Faculty or Staff.</w:t>
      </w:r>
    </w:p>
    <w:p>
      <w:pPr>
        <w:pStyle w:val="ListBullet"/>
      </w:pPr>
      <w:r>
        <w:t>Search: find someone within the current listing. Hub search covers everyone; Faculty search covers faculty.</w:t>
      </w:r>
    </w:p>
    <w:p>
      <w:pPr>
        <w:pStyle w:val="ListBullet"/>
      </w:pPr>
      <w:r>
        <w:t>Filters: narrow the current listing by useful attributes, such as discipline or region. Do not duplicate the sidebar groups.</w:t>
      </w:r>
    </w:p>
    <w:p>
      <w:hyperlink r:id="rId17">
        <w:r>
          <w:rPr>
            <w:color w:val="0563C1"/>
            <w:u w:val="single"/>
          </w:rPr>
          <w:t>Try category search and filters</w:t>
        </w:r>
      </w:hyperlink>
    </w:p>
    <w:p>
      <w:r>
        <w:br w:type="page"/>
      </w:r>
    </w:p>
    <w:p>
      <w:pPr>
        <w:pStyle w:val="Heading1"/>
      </w:pPr>
      <w:r>
        <w:t>3. Choose where each profile leads</w:t>
      </w:r>
    </w:p>
    <w:p>
      <w:r>
        <w:t>First, identify who maintains the full biography. Not every directory entry needs a biography page on the institute website.</w:t>
      </w:r>
    </w:p>
    <w:p>
      <w:pPr>
        <w:pStyle w:val="Heading2"/>
      </w:pPr>
      <w:r>
        <w:t>Full biography maintained by the Keough School</w:t>
      </w:r>
    </w:p>
    <w:p>
      <w:r>
        <w:t>Link the directory entry directly to the school’s profile. Do not create an intermediate institute biography page. The external-link arrow shows that the visitor is leaving the institute site.</w:t>
      </w:r>
    </w:p>
    <w:p>
      <w:hyperlink r:id="rId18">
        <w:r>
          <w:rPr>
            <w:color w:val="0563C1"/>
            <w:u w:val="single"/>
          </w:rPr>
          <w:t>Example: directory card linking to the school</w:t>
        </w:r>
      </w:hyperlink>
    </w:p>
    <w:p>
      <w:pPr>
        <w:pStyle w:val="Heading2"/>
      </w:pPr>
      <w:r>
        <w:t>Full biography maintained by the institute</w:t>
      </w:r>
    </w:p>
    <w:p>
      <w:r>
        <w:t>Open a detailed local biography page containing the person’s full profile information.</w:t>
      </w:r>
    </w:p>
    <w:p>
      <w:hyperlink r:id="rId19">
        <w:r>
          <w:rPr>
            <w:color w:val="0563C1"/>
            <w:u w:val="single"/>
          </w:rPr>
          <w:t>Example: full institute biography</w:t>
        </w:r>
      </w:hyperlink>
    </w:p>
    <w:p>
      <w:pPr>
        <w:pStyle w:val="Heading2"/>
      </w:pPr>
      <w:r>
        <w:t>Full biography maintained elsewhere</w:t>
      </w:r>
    </w:p>
    <w:p>
      <w:r>
        <w:t>When institute-specific context is useful, open an abridged local biography. Describe the person’s work or relationship with the institute and include a button linking to the full biography outside the Keough School website.</w:t>
      </w:r>
    </w:p>
    <w:p>
      <w:hyperlink r:id="rId20">
        <w:r>
          <w:rPr>
            <w:color w:val="0563C1"/>
            <w:u w:val="single"/>
          </w:rPr>
          <w:t>Example: abridged biography with a full-bio button</w:t>
        </w:r>
      </w:hyperlink>
    </w:p>
    <w:p>
      <w:pPr>
        <w:pStyle w:val="Heading2"/>
      </w:pPr>
      <w:r>
        <w:t>Historical affiliation, without a maintained biography</w:t>
      </w:r>
    </w:p>
    <w:p>
      <w:r>
        <w:t>For groups such as former visiting professors, use names only or images and names. These entries acknowledge a past affiliation; they do not promise a current biography.</w:t>
      </w:r>
    </w:p>
    <w:p>
      <w:pPr>
        <w:pStyle w:val="ListBullet"/>
      </w:pPr>
      <w:r>
        <w:t>Do not link entries by default or create a local biography page.</w:t>
      </w:r>
    </w:p>
    <w:p>
      <w:pPr>
        <w:pStyle w:val="ListBullet"/>
      </w:pPr>
      <w:r>
        <w:t>Keep names and historical affiliations accurate. Do not copy biographies your team cannot keep current.</w:t>
      </w:r>
    </w:p>
    <w:p>
      <w:r>
        <w:t>The profile-card thresholds on page 1 do not set a separate rule for these simple historical lists.</w:t>
      </w:r>
    </w:p>
    <w:p>
      <w:r>
        <w:t xml:space="preserve">Examples: </w:t>
      </w:r>
      <w:hyperlink r:id="rId21">
        <w:r>
          <w:rPr>
            <w:color w:val="0563C1"/>
            <w:u w:val="single"/>
          </w:rPr>
          <w:t>Names only</w:t>
        </w:r>
      </w:hyperlink>
      <w:r>
        <w:t xml:space="preserve">  ·  </w:t>
      </w:r>
      <w:hyperlink r:id="rId22">
        <w:r>
          <w:rPr>
            <w:color w:val="0563C1"/>
            <w:u w:val="single"/>
          </w:rPr>
          <w:t>Images and names</w:t>
        </w:r>
      </w:hyperlink>
    </w:p>
    <w:p>
      <w:pPr>
        <w:pStyle w:val="Heading2"/>
      </w:pPr>
      <w:r>
        <w:t>Before publishing</w:t>
      </w:r>
    </w:p>
    <w:p>
      <w:r>
        <w:t>Confirm the person’s group, who maintains the full biography, and which of the four options above applies.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Draft for feedback  •  23 October 2026  •  v0.2                  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8"/>
      </w:rPr>
      <w:t>INSTITUTE WEBSITES  /  PROPOSED PEOPLE DIRECTORY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C234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C2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color w:val="0C234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59" w:lineRule="auto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59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ugamba-nd.github.io/people-hub-mockup/screens/24/" TargetMode="External"/><Relationship Id="rId12" Type="http://schemas.openxmlformats.org/officeDocument/2006/relationships/hyperlink" Target="https://prugamba-nd.github.io/people-hub-mockup/screens/40/" TargetMode="External"/><Relationship Id="rId13" Type="http://schemas.openxmlformats.org/officeDocument/2006/relationships/hyperlink" Target="https://prugamba-nd.github.io/people-hub-mockup/screens/60/" TargetMode="External"/><Relationship Id="rId14" Type="http://schemas.openxmlformats.org/officeDocument/2006/relationships/hyperlink" Target="https://prugamba-nd.github.io/people-hub-mockup/" TargetMode="External"/><Relationship Id="rId15" Type="http://schemas.openxmlformats.org/officeDocument/2006/relationships/hyperlink" Target="https://prugamba-nd.github.io/people-hub-mockup/ndt3/" TargetMode="External"/><Relationship Id="rId16" Type="http://schemas.openxmlformats.org/officeDocument/2006/relationships/hyperlink" Target="https://prugamba-nd.github.io/people-hub-mockup/ndt24/" TargetMode="External"/><Relationship Id="rId17" Type="http://schemas.openxmlformats.org/officeDocument/2006/relationships/hyperlink" Target="https://prugamba-nd.github.io/people-hub-mockup/compare/category/" TargetMode="External"/><Relationship Id="rId18" Type="http://schemas.openxmlformats.org/officeDocument/2006/relationships/hyperlink" Target="https://prugamba-nd.github.io/people-hub-mockup/profile-examples/external-profile/" TargetMode="External"/><Relationship Id="rId19" Type="http://schemas.openxmlformats.org/officeDocument/2006/relationships/hyperlink" Target="https://prugamba-nd.github.io/people-hub-mockup/profile-examples/full-bio/" TargetMode="External"/><Relationship Id="rId20" Type="http://schemas.openxmlformats.org/officeDocument/2006/relationships/hyperlink" Target="https://prugamba-nd.github.io/people-hub-mockup/profile-examples/abridged-bio/" TargetMode="External"/><Relationship Id="rId21" Type="http://schemas.openxmlformats.org/officeDocument/2006/relationships/hyperlink" Target="https://prugamba-nd.github.io/people-hub-mockup/profile-examples/names-only/" TargetMode="External"/><Relationship Id="rId22" Type="http://schemas.openxmlformats.org/officeDocument/2006/relationships/hyperlink" Target="https://prugamba-nd.github.io/people-hub-mockup/profile-examples/images-and-na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directories: a shared guide for institute communicators</dc:title>
  <dc:subject>Proposed standards — revised for readability from the supplied PDF</dc:subject>
  <dc:creator>Keough School of Global Affairs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