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 pages</w:t>
      </w:r>
    </w:p>
    <w:p>
      <w:pPr>
        <w:pStyle w:val="Subtitle"/>
      </w:pPr>
      <w:r>
        <w:t>Proposed shared standard for institute websites</w:t>
      </w:r>
    </w:p>
    <w:p>
      <w:r>
        <w:t>For institute communicators • Draft for feedback • 23 October 2026</w:t>
      </w:r>
    </w:p>
    <w:p>
      <w:r>
        <w:t>This proposal establishes a consistent way to find people and maintain their profiles across institute websites, regardless of the website theme. It applies to institute sites; it does not prescribe the structure of the Keough School website.</w:t>
      </w:r>
    </w:p>
    <w:p>
      <w:pPr>
        <w:pStyle w:val="Heading2"/>
      </w:pPr>
      <w:r>
        <w:t>1. Make People a top-level navigation item</w:t>
      </w:r>
    </w:p>
    <w:p>
      <w:r>
        <w:t>Every institute website uses People in its main navigation. Clicking it opens the People Directory, with no category selected in the sidebar.</w:t>
      </w:r>
    </w:p>
    <w:p>
      <w:pPr>
        <w:pStyle w:val="Heading2"/>
      </w:pPr>
      <w:r>
        <w:t>2. Open directly on the directory</w:t>
      </w:r>
    </w:p>
    <w:p>
      <w:pPr>
        <w:pStyle w:val="ListBullet"/>
      </w:pPr>
      <w:r>
        <w:t>Use People Directory as the page title. Do not place an inset hero or introductory photo above the directory.</w:t>
      </w:r>
    </w:p>
    <w:p>
      <w:pPr>
        <w:pStyle w:val="ListBullet"/>
      </w:pPr>
      <w:r>
        <w:t>Show profile cards in four columns on desktop, adapting to fewer columns on smaller screens.</w:t>
      </w:r>
    </w:p>
    <w:p>
      <w:pPr>
        <w:pStyle w:val="ListBullet"/>
      </w:pPr>
      <w:r>
        <w:t>List leadership first, followed by everyone else in alphabetical order by surname. Show each person once in the hub listing.</w:t>
      </w:r>
    </w:p>
    <w:p>
      <w:pPr>
        <w:pStyle w:val="ListBullet"/>
      </w:pPr>
      <w:r>
        <w:t>Provide these five sidebar categories: Leadership; Faculty; Staff; Scholars &amp; Fellows; Students.</w:t>
      </w:r>
    </w:p>
    <w:p>
      <w:pPr>
        <w:pStyle w:val="Heading2"/>
      </w:pPr>
      <w:r>
        <w:t>3. Scale listings by the number of profiles</w:t>
      </w:r>
    </w:p>
    <w:p>
      <w:r>
        <w:t>Apply these thresholds to the full directory and to category or subcategory listings: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160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Profiles in the listing</w:t>
            </w:r>
          </w:p>
        </w:tc>
        <w:tc>
          <w:tcPr>
            <w:tcW w:type="dxa" w:w="7920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What visitors see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0" w:before="80"/>
            </w:pPr>
            <w:r>
              <w:rPr>
                <w:sz w:val="20"/>
              </w:rPr>
              <w:t>1–24</w:t>
            </w:r>
          </w:p>
        </w:tc>
        <w:tc>
          <w:tcPr>
            <w:tcW w:type="dxa" w:w="7920"/>
          </w:tcPr>
          <w:p>
            <w:pPr>
              <w:spacing w:after="100" w:before="80"/>
            </w:pPr>
            <w:r>
              <w:rPr>
                <w:sz w:val="20"/>
              </w:rPr>
              <w:t>All profiles on one page.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0" w:before="80"/>
            </w:pPr>
            <w:r>
              <w:rPr>
                <w:sz w:val="20"/>
              </w:rPr>
              <w:t>25–40</w:t>
            </w:r>
          </w:p>
        </w:tc>
        <w:tc>
          <w:tcPr>
            <w:tcW w:type="dxa" w:w="7920"/>
          </w:tcPr>
          <w:p>
            <w:pPr>
              <w:spacing w:after="100" w:before="80"/>
            </w:pPr>
            <w:r>
              <w:rPr>
                <w:sz w:val="20"/>
              </w:rPr>
              <w:t>Pagination, with 24 profiles per page.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100" w:before="80"/>
            </w:pPr>
            <w:r>
              <w:rPr>
                <w:sz w:val="20"/>
              </w:rPr>
              <w:t>41 or more</w:t>
            </w:r>
          </w:p>
        </w:tc>
        <w:tc>
          <w:tcPr>
            <w:tcW w:type="dxa" w:w="7920"/>
          </w:tcPr>
          <w:p>
            <w:pPr>
              <w:spacing w:after="100" w:before="80"/>
            </w:pPr>
            <w:r>
              <w:rPr>
                <w:sz w:val="20"/>
              </w:rPr>
              <w:t>Pagination, with 24 profiles per page, plus search and filters appropriate to the listing.</w:t>
            </w:r>
          </w:p>
        </w:tc>
      </w:tr>
    </w:tbl>
    <w:p>
      <w:r>
        <w:t>Category and subcategory listings are alphabetical by surname. Leadership-first ordering applies only to the main People Directory.</w:t>
      </w:r>
    </w:p>
    <w:p>
      <w:r>
        <w:t>Search on the hub covers the directory. Search within a category covers that category; filters should help narrow its profiles, rather than duplicate the sidebar groups.</w:t>
      </w:r>
    </w:p>
    <w:p>
      <w:r>
        <w:br w:type="page"/>
      </w:r>
    </w:p>
    <w:p>
      <w:pPr>
        <w:pStyle w:val="Heading1"/>
      </w:pPr>
      <w:r>
        <w:t>Category pages and the sidebar</w:t>
      </w:r>
    </w:p>
    <w:p>
      <w:r>
        <w:t>A category page answers “Who belongs to this group?” It opens a dedicated listing rather than expanding a long list of every subcategory on the hub.</w:t>
      </w:r>
    </w:p>
    <w:p>
      <w:pPr>
        <w:pStyle w:val="Heading2"/>
      </w:pPr>
      <w:r>
        <w:t>4. Use one page title</w:t>
      </w:r>
    </w:p>
    <w:p>
      <w:pPr>
        <w:pStyle w:val="ListBullet"/>
      </w:pPr>
      <w:r>
        <w:t>Use only the category name as the page heading—for example, Faculty or Advisory.</w:t>
      </w:r>
    </w:p>
    <w:p>
      <w:pPr>
        <w:pStyle w:val="ListBullet"/>
      </w:pPr>
      <w:r>
        <w:t>Do not add a lede or extra section headings above or between the profiles. Profile names and role labels remain part of the cards.</w:t>
      </w:r>
    </w:p>
    <w:p>
      <w:pPr>
        <w:pStyle w:val="ListBullet"/>
      </w:pPr>
      <w:r>
        <w:t>When a category is selected, reveal its lower-level categories in the sidebar. Keep the other categories collapsed and indicate the selected page.</w:t>
      </w:r>
    </w:p>
    <w:p>
      <w:pPr>
        <w:pStyle w:val="Heading2"/>
      </w:pPr>
      <w:r>
        <w:t>5. Let the parent category show its default group</w:t>
      </w:r>
    </w:p>
    <w:p>
      <w:r>
        <w:t>The parent page shows the group visitors would naturally expect there. Do not repeat that default group as a child link or an extra heading. For example, Faculty shows core affiliated faculty without a separate “Core Affiliated Faculty” heading or sidebar item.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1944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Sidebar category</w:t>
            </w:r>
          </w:p>
        </w:tc>
        <w:tc>
          <w:tcPr>
            <w:tcW w:type="dxa" w:w="3672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Profiles shown on the parent page</w:t>
            </w:r>
          </w:p>
        </w:tc>
        <w:tc>
          <w:tcPr>
            <w:tcW w:type="dxa" w:w="4464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Children revealed when selected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/>
            </w:pPr>
            <w:r>
              <w:rPr>
                <w:sz w:val="20"/>
              </w:rPr>
              <w:t>Leadership</w:t>
            </w:r>
          </w:p>
        </w:tc>
        <w:tc>
          <w:tcPr>
            <w:tcW w:type="dxa" w:w="3672"/>
          </w:tcPr>
          <w:p>
            <w:pPr>
              <w:spacing w:after="100" w:before="80"/>
            </w:pPr>
            <w:r>
              <w:rPr>
                <w:sz w:val="20"/>
              </w:rPr>
              <w:t>Institute leadership</w:t>
            </w:r>
          </w:p>
        </w:tc>
        <w:tc>
          <w:tcPr>
            <w:tcW w:type="dxa" w:w="4464"/>
          </w:tcPr>
          <w:p>
            <w:pPr>
              <w:spacing w:after="100" w:before="80"/>
            </w:pPr>
            <w:r>
              <w:rPr>
                <w:sz w:val="20"/>
              </w:rPr>
              <w:t>Advisory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/>
            </w:pPr>
            <w:r>
              <w:rPr>
                <w:sz w:val="20"/>
              </w:rPr>
              <w:t>Faculty</w:t>
            </w:r>
          </w:p>
        </w:tc>
        <w:tc>
          <w:tcPr>
            <w:tcW w:type="dxa" w:w="3672"/>
          </w:tcPr>
          <w:p>
            <w:pPr>
              <w:spacing w:after="100" w:before="80"/>
            </w:pPr>
            <w:r>
              <w:rPr>
                <w:sz w:val="20"/>
              </w:rPr>
              <w:t>Core affiliated faculty</w:t>
            </w:r>
          </w:p>
        </w:tc>
        <w:tc>
          <w:tcPr>
            <w:tcW w:type="dxa" w:w="4464"/>
          </w:tcPr>
          <w:p>
            <w:pPr>
              <w:spacing w:after="100" w:before="80"/>
            </w:pPr>
            <w:r>
              <w:rPr>
                <w:sz w:val="20"/>
              </w:rPr>
              <w:t>Faculty Fellows; Associated Faculty; Emeriti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/>
            </w:pPr>
            <w:r>
              <w:rPr>
                <w:sz w:val="20"/>
              </w:rPr>
              <w:t>Staff</w:t>
            </w:r>
          </w:p>
        </w:tc>
        <w:tc>
          <w:tcPr>
            <w:tcW w:type="dxa" w:w="3672"/>
          </w:tcPr>
          <w:p>
            <w:pPr>
              <w:spacing w:after="100" w:before="80"/>
            </w:pPr>
            <w:r>
              <w:rPr>
                <w:sz w:val="20"/>
              </w:rPr>
              <w:t>Institute staff</w:t>
            </w:r>
          </w:p>
        </w:tc>
        <w:tc>
          <w:tcPr>
            <w:tcW w:type="dxa" w:w="4464"/>
          </w:tcPr>
          <w:p>
            <w:pPr>
              <w:spacing w:after="100" w:before="80"/>
            </w:pPr>
            <w:r>
              <w:rPr>
                <w:sz w:val="20"/>
              </w:rPr>
              <w:t>None in the proposed structure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/>
            </w:pPr>
            <w:r>
              <w:rPr>
                <w:sz w:val="20"/>
              </w:rPr>
              <w:t>Scholars &amp; Fellows</w:t>
            </w:r>
          </w:p>
        </w:tc>
        <w:tc>
          <w:tcPr>
            <w:tcW w:type="dxa" w:w="3672"/>
          </w:tcPr>
          <w:p>
            <w:pPr>
              <w:spacing w:after="100" w:before="80"/>
            </w:pPr>
            <w:r>
              <w:rPr>
                <w:sz w:val="20"/>
              </w:rPr>
              <w:t>Visiting scholars and fellows together</w:t>
            </w:r>
          </w:p>
        </w:tc>
        <w:tc>
          <w:tcPr>
            <w:tcW w:type="dxa" w:w="4464"/>
          </w:tcPr>
          <w:p>
            <w:pPr>
              <w:spacing w:after="100" w:before="80"/>
            </w:pPr>
            <w:r>
              <w:rPr>
                <w:sz w:val="20"/>
              </w:rPr>
              <w:t>Postdoctoral Researchers; Affiliates; Past Scholars &amp; Fellows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100" w:before="80"/>
            </w:pPr>
            <w:r>
              <w:rPr>
                <w:sz w:val="20"/>
              </w:rPr>
              <w:t>Students</w:t>
            </w:r>
          </w:p>
        </w:tc>
        <w:tc>
          <w:tcPr>
            <w:tcW w:type="dxa" w:w="3672"/>
          </w:tcPr>
          <w:p>
            <w:pPr>
              <w:spacing w:after="100" w:before="80"/>
            </w:pPr>
            <w:r>
              <w:rPr>
                <w:sz w:val="20"/>
              </w:rPr>
              <w:t>Undergraduate and graduate students, excluding PhD students</w:t>
            </w:r>
          </w:p>
        </w:tc>
        <w:tc>
          <w:tcPr>
            <w:tcW w:type="dxa" w:w="4464"/>
          </w:tcPr>
          <w:p>
            <w:pPr>
              <w:spacing w:after="100" w:before="80"/>
            </w:pPr>
            <w:r>
              <w:rPr>
                <w:sz w:val="20"/>
              </w:rPr>
              <w:t>PhD</w:t>
            </w:r>
          </w:p>
        </w:tc>
      </w:tr>
    </w:tbl>
    <w:p>
      <w:pPr>
        <w:pStyle w:val="Heading2"/>
      </w:pPr>
      <w:r>
        <w:t>Sidebar, search, and filters have different jobs</w:t>
      </w:r>
    </w:p>
    <w:p>
      <w:r>
        <w:t>The sidebar moves visitors between groups. Search finds a person or matching information within the current listing. Filters narrow that listing using useful attributes, such as discipline or region of expertise, when the profile information supports them.</w:t>
      </w:r>
    </w:p>
    <w:p>
      <w:r>
        <w:t>Example: a visitor opens Faculty, searches for migration, then narrows the results to a discipline. They should not need to navigate through additional sidebar levels for every research topic.</w:t>
      </w:r>
    </w:p>
    <w:p>
      <w:r>
        <w:br w:type="page"/>
      </w:r>
    </w:p>
    <w:p>
      <w:pPr>
        <w:pStyle w:val="Heading1"/>
      </w:pPr>
      <w:r>
        <w:t>Profile destinations and historical listings</w:t>
      </w:r>
    </w:p>
    <w:p>
      <w:pPr>
        <w:pStyle w:val="Heading2"/>
      </w:pPr>
      <w:r>
        <w:t>6. Follow where the full biography is maintained</w:t>
      </w:r>
    </w:p>
    <w:p>
      <w:r>
        <w:t>Institute directories include people whose primary affiliation is with the institute and people whose full profile is maintained by another entity. A directory listing does not always need a local biography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600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Where the full biography is maintained</w:t>
            </w:r>
          </w:p>
        </w:tc>
        <w:tc>
          <w:tcPr>
            <w:tcW w:type="dxa" w:w="6480"/>
            <w:shd w:fill="0C2340"/>
          </w:tcPr>
          <w:p>
            <w:pPr>
              <w:spacing w:after="100" w:before="80"/>
            </w:pPr>
            <w:r>
              <w:rPr>
                <w:b/>
                <w:color w:val="FFFFFF"/>
                <w:sz w:val="20"/>
              </w:rPr>
              <w:t>What clicking the directory entry opens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sz w:val="20"/>
              </w:rPr>
              <w:t>Keough School website</w:t>
            </w:r>
          </w:p>
        </w:tc>
        <w:tc>
          <w:tcPr>
            <w:tcW w:type="dxa" w:w="6480"/>
          </w:tcPr>
          <w:p>
            <w:pPr>
              <w:spacing w:after="100" w:before="80"/>
            </w:pPr>
            <w:r>
              <w:rPr>
                <w:sz w:val="20"/>
              </w:rPr>
              <w:t>The full profile on the school website, directly. Do not create an intermediate institute biography page.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sz w:val="20"/>
              </w:rPr>
              <w:t>The institute website</w:t>
            </w:r>
          </w:p>
        </w:tc>
        <w:tc>
          <w:tcPr>
            <w:tcW w:type="dxa" w:w="6480"/>
          </w:tcPr>
          <w:p>
            <w:pPr>
              <w:spacing w:after="100" w:before="80"/>
            </w:pPr>
            <w:r>
              <w:rPr>
                <w:sz w:val="20"/>
              </w:rPr>
              <w:t>A detailed institute biography page containing the person’s full profile information.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80"/>
            </w:pPr>
            <w:r>
              <w:rPr>
                <w:sz w:val="20"/>
              </w:rPr>
              <w:t>A host outside the Keough School website, with institute-specific context to provide</w:t>
            </w:r>
          </w:p>
        </w:tc>
        <w:tc>
          <w:tcPr>
            <w:tcW w:type="dxa" w:w="6480"/>
          </w:tcPr>
          <w:p>
            <w:pPr>
              <w:spacing w:after="100" w:before="80"/>
            </w:pPr>
            <w:r>
              <w:rPr>
                <w:sz w:val="20"/>
              </w:rPr>
              <w:t>An abridged institute biography: a short account of the person’s work or relationship specific to the institute, plus a link to the full profile on its host site.</w:t>
            </w:r>
          </w:p>
        </w:tc>
      </w:tr>
    </w:tbl>
    <w:p>
      <w:r>
        <w:t>Some directory cards will therefore take visitors directly off the institute website. Local biography pages have two forms: a full profile maintained by the institute, or an abridged institute-specific profile linking to the full biography elsewhere.</w:t>
      </w:r>
    </w:p>
    <w:p>
      <w:pPr>
        <w:pStyle w:val="Heading2"/>
      </w:pPr>
      <w:r>
        <w:t>7. Use simple listings when current biographies cannot be maintained</w:t>
      </w:r>
    </w:p>
    <w:p>
      <w:r>
        <w:t>Historical groups—such as visiting professors who have left—may use a plain listing instead of clickable profile cards. These entries record a past relationship; they do not imply that the institute maintains a current biography.</w:t>
      </w:r>
    </w:p>
    <w:p>
      <w:pPr>
        <w:pStyle w:val="ListBullet"/>
      </w:pPr>
      <w:r>
        <w:t>Use a name alone, or an image and name.</w:t>
      </w:r>
    </w:p>
    <w:p>
      <w:pPr>
        <w:pStyle w:val="ListBullet"/>
      </w:pPr>
      <w:r>
        <w:t>Entries are not linked by default and do not require a local biography page.</w:t>
      </w:r>
    </w:p>
    <w:p>
      <w:pPr>
        <w:pStyle w:val="ListBullet"/>
      </w:pPr>
      <w:r>
        <w:t>Do not reproduce biographies that the institute cannot keep current. Basic accuracy of names and historical affiliation still matters.</w:t>
      </w:r>
    </w:p>
    <w:p>
      <w:r>
        <w:t>This is a distinct category-page format. It is appropriate when the purpose is to acknowledge past affiliation rather than provide a current profile directory. The profile-card pagination thresholds above do not establish a separate threshold for these simple historical lists.</w:t>
      </w:r>
    </w:p>
    <w:p>
      <w:pPr>
        <w:pStyle w:val="Heading2"/>
      </w:pPr>
      <w:r>
        <w:t>Before publishing a profile entry</w:t>
      </w:r>
    </w:p>
    <w:p>
      <w:r>
        <w:t>Confirm the appropriate group, where the full biography is maintained, and whether the entry should open a full institute profile, an abridged institute profile, a Keough School profile, or remain a historical name-only entry.</w:t>
      </w:r>
    </w:p>
    <w:p>
      <w:r>
        <w:br w:type="page"/>
      </w:r>
    </w:p>
    <w:p>
      <w:pPr>
        <w:pStyle w:val="Heading1"/>
      </w:pPr>
      <w:r>
        <w:t>Examples and feedback</w:t>
      </w:r>
    </w:p>
    <w:p>
      <w:r>
        <w:t>Use this illustration and the linked mockups to discuss the proposed experience. The written rules in this draft are the proposal; the exploratory mockups are not all approved patterns.</w:t>
      </w:r>
    </w:p>
    <w:p>
      <w:r>
        <w:drawing>
          <wp:inline xmlns:a="http://schemas.openxmlformats.org/drawingml/2006/main" xmlns:pic="http://schemas.openxmlformats.org/drawingml/2006/picture">
            <wp:extent cx="6217920" cy="355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-illust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Illustrative hub with fictional profiles: People Directory, no active sidebar category, leadership first, and four columns. This view was adapted from the prototype for this document.</w:t>
      </w:r>
    </w:p>
    <w:p>
      <w:hyperlink r:id="rId12">
        <w:r>
          <w:rPr>
            <w:color w:val="0563C1"/>
            <w:u w:val="single"/>
          </w:rPr>
          <w:t>Try the large directory: search, filters, and pagination</w:t>
        </w:r>
      </w:hyperlink>
    </w:p>
    <w:p>
      <w:hyperlink r:id="rId13">
        <w:r>
          <w:rPr>
            <w:color w:val="0563C1"/>
            <w:u w:val="single"/>
          </w:rPr>
          <w:t>Try Faculty: category-specific search, filters, and child navigation</w:t>
        </w:r>
      </w:hyperlink>
    </w:p>
    <w:p>
      <w:hyperlink r:id="rId14">
        <w:r>
          <w:rPr>
            <w:color w:val="0563C1"/>
            <w:u w:val="single"/>
          </w:rPr>
          <w:t>Compare theme examples: NDT4</w:t>
        </w:r>
      </w:hyperlink>
    </w:p>
    <w:p>
      <w:hyperlink r:id="rId15">
        <w:r>
          <w:rPr>
            <w:color w:val="0563C1"/>
            <w:u w:val="single"/>
          </w:rPr>
          <w:t>Compare theme examples: NDT3</w:t>
        </w:r>
      </w:hyperlink>
    </w:p>
    <w:p>
      <w:hyperlink r:id="rId16">
        <w:r>
          <w:rPr>
            <w:color w:val="0563C1"/>
            <w:u w:val="single"/>
          </w:rPr>
          <w:t>Compare theme examples: Theme 2.4</w:t>
        </w:r>
      </w:hyperlink>
    </w:p>
    <w:p>
      <w:pPr>
        <w:pStyle w:val="Caption"/>
      </w:pPr>
      <w:r>
        <w:t>Example limitations: the large mockup uses fictional records and alphabetical ordering; existing live hubs still use the earlier “People” title. The document illustration and written rules specify the proposed title and leadership-first order. Profile-destination and historical-list rules are described here but are not demonstrated fully in these mockups.</w:t>
      </w:r>
    </w:p>
    <w:p>
      <w:pPr>
        <w:pStyle w:val="Heading2"/>
      </w:pPr>
      <w:r>
        <w:t>Please add comments in Word</w:t>
      </w:r>
    </w:p>
    <w:p>
      <w:r>
        <w:t>Use Review → New Comment beside the rule you are responding to. Please identify the institute or example that informs your feedback.</w:t>
      </w:r>
    </w:p>
    <w:p>
      <w:pPr>
        <w:pStyle w:val="ListBullet"/>
      </w:pPr>
      <w:r>
        <w:t>Does the category structure fit your institute? Identify a group or parent-page default that needs discussion.</w:t>
      </w:r>
    </w:p>
    <w:p>
      <w:pPr>
        <w:pStyle w:val="ListBullet"/>
      </w:pPr>
      <w:r>
        <w:t>Can your team identify and maintain the correct profile destination for each person?</w:t>
      </w:r>
    </w:p>
    <w:p>
      <w:pPr>
        <w:pStyle w:val="ListBullet"/>
      </w:pPr>
      <w:r>
        <w:t>Are the listing thresholds workable, and what information would make useful filters for your categories?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DRAFT FOR FEEDBACK  •  23 October 2026  •  v0.1</w:t>
    </w:r>
    <w:r>
      <w:t xml:space="preserve">   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173"/>
        <w:sz w:val="18"/>
      </w:rPr>
      <w:t>INSTITUTE WEBSITES  /  SHARED PEOPLE DIRECTORY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C234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C23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C234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rugamba-nd.github.io/people-hub-mockup/compare/directory/" TargetMode="External"/><Relationship Id="rId13" Type="http://schemas.openxmlformats.org/officeDocument/2006/relationships/hyperlink" Target="https://prugamba-nd.github.io/people-hub-mockup/compare/category/" TargetMode="External"/><Relationship Id="rId14" Type="http://schemas.openxmlformats.org/officeDocument/2006/relationships/hyperlink" Target="https://prugamba-nd.github.io/people-hub-mockup/" TargetMode="External"/><Relationship Id="rId15" Type="http://schemas.openxmlformats.org/officeDocument/2006/relationships/hyperlink" Target="https://prugamba-nd.github.io/people-hub-mockup/ndt3/" TargetMode="External"/><Relationship Id="rId16" Type="http://schemas.openxmlformats.org/officeDocument/2006/relationships/hyperlink" Target="https://prugamba-nd.github.io/people-hub-mockup/ndt2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pages: proposed shared standard for institute websites</dc:title>
  <dc:subject>Draft for institute communicator review</dc:subject>
  <dc:creator>Keough School of Global Affairs</dc:creator>
  <cp:keywords>People directory, institute communicators, proposed standard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