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Haering, Jonas Etter,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231659"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231659"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231659"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231659"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231659"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0D0069">
        <w:t>Mit Hilfe dieser Fragestellung wollen wir herausfinden, was für Folgen der zweite Golfkrieg au</w:t>
      </w:r>
      <w:r w:rsidR="00F9598F" w:rsidRPr="000D0069">
        <w:t>f</w:t>
      </w:r>
      <w:r w:rsidRPr="000D0069">
        <w:t xml:space="preserve"> </w:t>
      </w:r>
      <w:r w:rsidR="001C321C" w:rsidRPr="000D0069">
        <w:t xml:space="preserve">die Gesundheit der </w:t>
      </w:r>
      <w:r w:rsidR="00F7066A" w:rsidRPr="000D0069">
        <w:t xml:space="preserve">amerikanischen Soldaten </w:t>
      </w:r>
      <w:r w:rsidR="00F7066A" w:rsidRPr="00E0235A">
        <w:t>hatte.</w:t>
      </w:r>
      <w:r w:rsidR="00F7066A" w:rsidRPr="00F9598F">
        <w:rPr>
          <w:color w:val="FF0000"/>
        </w:rPr>
        <w:t xml:space="preserv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1" w:name="_Toc530426242"/>
      <w:r w:rsidRPr="00E01E1F">
        <w:t>Theorieteil</w:t>
      </w:r>
      <w:bookmarkEnd w:id="1"/>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E0235A" w:rsidRDefault="00FF5859" w:rsidP="00FF5859">
      <w:pPr>
        <w:pStyle w:val="IDPA-Standard"/>
        <w:rPr>
          <w:rStyle w:val="Hyperlink"/>
          <w:color w:val="auto"/>
          <w:u w:val="none"/>
        </w:rPr>
      </w:pPr>
      <w:r w:rsidRPr="000D0069">
        <w:rPr>
          <w:rStyle w:val="Hyperlink"/>
          <w:color w:val="auto"/>
          <w:u w:val="none"/>
        </w:rPr>
        <w:t xml:space="preserve">Die Amerikaner unter Präsident George H. W. Bush verfolgten einen anderen Weg. </w:t>
      </w:r>
      <w:r w:rsidRPr="000D0069">
        <w:rPr>
          <w:rStyle w:val="Hyperlink"/>
          <w:color w:val="auto"/>
          <w:u w:val="none"/>
        </w:rPr>
        <w:br/>
        <w:t xml:space="preserve">Mit der Operation </w:t>
      </w:r>
      <w:r w:rsidRPr="000D0069">
        <w:rPr>
          <w:rStyle w:val="Hyperlink"/>
          <w:b/>
          <w:color w:val="auto"/>
          <w:u w:val="none"/>
          <w:lang w:val="en-AU"/>
        </w:rPr>
        <w:t>Desert Shield</w:t>
      </w:r>
      <w:r w:rsidRPr="000D0069">
        <w:rPr>
          <w:rStyle w:val="Hyperlink"/>
          <w:color w:val="auto"/>
          <w:u w:val="none"/>
        </w:rPr>
        <w:t xml:space="preserve"> wurden Flugzeugträger und Soldaten nach Saudi-Arabien</w:t>
      </w:r>
      <w:r w:rsidRPr="00FF5859">
        <w:rPr>
          <w:rStyle w:val="Hyperlink"/>
          <w:color w:val="FF0000"/>
          <w:u w:val="none"/>
        </w:rPr>
        <w:t xml:space="preserve"> </w:t>
      </w:r>
      <w:r w:rsidRPr="007F21EB">
        <w:rPr>
          <w:rStyle w:val="Hyperlink"/>
          <w:color w:val="auto"/>
          <w:u w:val="none"/>
        </w:rPr>
        <w:t>entsandt</w:t>
      </w:r>
      <w:r w:rsidR="00E0235A">
        <w:rPr>
          <w:rStyle w:val="Hyperlink"/>
          <w:color w:val="auto"/>
          <w:u w:val="none"/>
        </w:rPr>
        <w:t xml:space="preserve">, damit </w:t>
      </w:r>
      <w:r w:rsidRPr="007F21EB">
        <w:rPr>
          <w:rStyle w:val="Hyperlink"/>
          <w:color w:val="auto"/>
          <w:u w:val="none"/>
        </w:rPr>
        <w:t>ein Vormarsch des Iraks nach Saudi-Arabien gestoppt werden</w:t>
      </w:r>
      <w:r w:rsidR="00E0235A">
        <w:rPr>
          <w:rStyle w:val="Hyperlink"/>
          <w:color w:val="auto"/>
          <w:u w:val="none"/>
        </w:rPr>
        <w:t xml:space="preserve"> kann</w:t>
      </w:r>
      <w:r w:rsidRPr="007F21EB">
        <w:rPr>
          <w:rStyle w:val="Hyperlink"/>
          <w:color w:val="auto"/>
          <w:u w:val="none"/>
        </w:rPr>
        <w:t>.</w:t>
      </w:r>
    </w:p>
    <w:p w:rsidR="00FF5859" w:rsidRDefault="00FF5859" w:rsidP="00FF5859">
      <w:pPr>
        <w:pStyle w:val="IDPA-Standard"/>
        <w:rPr>
          <w:rStyle w:val="Hyperlink"/>
          <w:color w:val="auto"/>
          <w:u w:val="none"/>
        </w:rPr>
      </w:pPr>
      <w:r w:rsidRPr="007F21EB">
        <w:rPr>
          <w:rStyle w:val="Hyperlink"/>
          <w:color w:val="auto"/>
          <w:u w:val="none"/>
        </w:rPr>
        <w:lastRenderedPageBreak/>
        <w:t>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Pr="000D0069" w:rsidRDefault="00FF5859" w:rsidP="00FF5859">
      <w:pPr>
        <w:pStyle w:val="IDPA-Standard"/>
      </w:pPr>
      <w:r w:rsidRPr="000D0069">
        <w:t xml:space="preserve">Ende Februar starteten die amerikanischen Truppen einen Bodenkrieg und konnten Kuwait innert kürzester Zeit erobern und befreien. </w:t>
      </w:r>
      <w:r w:rsidRPr="000D0069">
        <w:rPr>
          <w:rStyle w:val="Funotenzeichen"/>
          <w:sz w:val="18"/>
          <w:szCs w:val="18"/>
          <w:lang w:val="fr-CH"/>
        </w:rPr>
        <w:footnoteReference w:id="5"/>
      </w:r>
    </w:p>
    <w:p w:rsidR="00FF5859" w:rsidRPr="007F21EB" w:rsidRDefault="00FF5859" w:rsidP="00FF5859">
      <w:pPr>
        <w:pStyle w:val="IDPA-Standard"/>
      </w:pPr>
    </w:p>
    <w:p w:rsidR="00E01E1F" w:rsidRPr="000D0069" w:rsidRDefault="00FF5859" w:rsidP="004D5993">
      <w:pPr>
        <w:pStyle w:val="IDPA-Standard"/>
      </w:pPr>
      <w:r w:rsidRPr="000D0069">
        <w:t xml:space="preserve">Obwohl die amerikanischen Truppen klar gesiegt und nur wenige Opfer zu beklagen hatten, hinterließ der Krieg gravierende Spuren bei den Soldaten. Symptome, welche später unter dem Namen </w:t>
      </w:r>
      <w:r w:rsidRPr="000D0069">
        <w:rPr>
          <w:b/>
        </w:rPr>
        <w:t>Golfkriegssyndrom</w:t>
      </w:r>
      <w:r w:rsidRPr="000D0069">
        <w:t xml:space="preserve"> zusammengefasst wurden. Diese Symptome sind sowohl physischer als auch psychischer Art.  </w:t>
      </w:r>
      <w:r w:rsidR="00CA7845" w:rsidRPr="000D0069">
        <w:t xml:space="preserve">Dazu </w:t>
      </w:r>
      <w:r w:rsidRPr="000D0069">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0D0069">
        <w:rPr>
          <w:rStyle w:val="Funotenzeichen"/>
          <w:sz w:val="18"/>
          <w:szCs w:val="18"/>
          <w:lang w:val="fr-CH"/>
        </w:rPr>
        <w:footnoteReference w:id="6"/>
      </w:r>
    </w:p>
    <w:p w:rsidR="00E01E1F" w:rsidRPr="00E01E1F" w:rsidRDefault="00E01E1F" w:rsidP="00FE7109">
      <w:pPr>
        <w:pStyle w:val="IDPAberschrift1"/>
        <w:spacing w:line="360" w:lineRule="auto"/>
      </w:pPr>
      <w:bookmarkStart w:id="2" w:name="_Toc530426241"/>
      <w:r w:rsidRPr="00E01E1F">
        <w:t>Bildanalyse</w:t>
      </w:r>
      <w:bookmarkEnd w:id="2"/>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Default="00FF5859" w:rsidP="00FE7109">
      <w:pPr>
        <w:pStyle w:val="IDPA-Standard"/>
      </w:pPr>
    </w:p>
    <w:p w:rsidR="00932432" w:rsidRDefault="00932432" w:rsidP="00FE7109">
      <w:pPr>
        <w:pStyle w:val="IDPA-Standard"/>
      </w:pPr>
    </w:p>
    <w:p w:rsidR="00932432" w:rsidRDefault="00932432" w:rsidP="00FE7109">
      <w:pPr>
        <w:pStyle w:val="IDPA-Standard"/>
      </w:pPr>
    </w:p>
    <w:p w:rsidR="00932432" w:rsidRPr="00B20AF6" w:rsidRDefault="00932432" w:rsidP="00FE7109">
      <w:pPr>
        <w:pStyle w:val="IDPA-Standard"/>
      </w:pPr>
    </w:p>
    <w:p w:rsidR="00FF5859" w:rsidRDefault="00FF5859">
      <w:pPr>
        <w:rPr>
          <w:rFonts w:ascii="Arial" w:hAnsi="Arial" w:cs="Arial"/>
          <w:lang w:val="de-DE"/>
        </w:rPr>
      </w:pPr>
      <w:r>
        <w:br w:type="page"/>
      </w: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w:t>
      </w:r>
      <w:proofErr w:type="spellStart"/>
      <w:r w:rsidR="00E01E1F" w:rsidRPr="00B20AF6">
        <w:t>Kozakiewicz</w:t>
      </w:r>
      <w:proofErr w:type="spellEnd"/>
      <w:r w:rsidR="00E01E1F" w:rsidRPr="00B20AF6">
        <w:t xml:space="preserve"> und ist Sergea</w:t>
      </w:r>
      <w:r w:rsidR="00473B9C">
        <w:t xml:space="preserve">nt in der amerikanischen </w:t>
      </w:r>
      <w:r w:rsidR="00473B9C" w:rsidRPr="00CC2383">
        <w:t>Armee.</w:t>
      </w:r>
      <w:r w:rsidR="00E01E1F" w:rsidRPr="00CC2383">
        <w:rPr>
          <w:rStyle w:val="Funotenzeichen"/>
          <w:sz w:val="18"/>
          <w:szCs w:val="18"/>
          <w:lang w:val="fr-CH"/>
        </w:rPr>
        <w:footnoteReference w:id="8"/>
      </w:r>
      <w:r w:rsidR="00F7066A" w:rsidRPr="00CC2383">
        <w:t xml:space="preserve"> </w:t>
      </w:r>
      <w:r w:rsidR="00E01E1F" w:rsidRPr="00CC2383">
        <w:t xml:space="preserve">Das gesamte </w:t>
      </w:r>
      <w:r w:rsidR="00E01E1F" w:rsidRPr="00B20AF6">
        <w:t>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rsidRPr="0005461F">
        <w:br/>
      </w:r>
      <w:r w:rsidR="00E01E1F" w:rsidRPr="0005461F">
        <w:t xml:space="preserve">Der Soldat, welcher neben Ken </w:t>
      </w:r>
      <w:proofErr w:type="spellStart"/>
      <w:r w:rsidR="00E01E1F" w:rsidRPr="0005461F">
        <w:t>Kozakiewicz</w:t>
      </w:r>
      <w:proofErr w:type="spellEnd"/>
      <w:r w:rsidR="00E01E1F" w:rsidRPr="0005461F">
        <w:t xml:space="preserve"> sitzt, </w:t>
      </w:r>
      <w:proofErr w:type="spellStart"/>
      <w:r w:rsidR="00E01E1F" w:rsidRPr="0005461F">
        <w:t>heisst</w:t>
      </w:r>
      <w:proofErr w:type="spellEnd"/>
      <w:r w:rsidR="00E01E1F" w:rsidRPr="0005461F">
        <w:t xml:space="preserve"> Michael </w:t>
      </w:r>
      <w:proofErr w:type="spellStart"/>
      <w:r w:rsidR="00E01E1F" w:rsidRPr="0005461F">
        <w:t>Tsangarakis</w:t>
      </w:r>
      <w:proofErr w:type="spellEnd"/>
      <w:r w:rsidR="00E01E1F" w:rsidRPr="0005461F">
        <w:t>.</w:t>
      </w:r>
      <w:r w:rsidR="00E01E1F" w:rsidRPr="0005461F">
        <w:rPr>
          <w:rStyle w:val="Funotenzeichen"/>
          <w:sz w:val="18"/>
          <w:szCs w:val="18"/>
          <w:lang w:val="fr-CH"/>
        </w:rPr>
        <w:footnoteReference w:id="9"/>
      </w:r>
      <w:r w:rsidR="00E01E1F" w:rsidRPr="0005461F">
        <w:t xml:space="preserve"> Sein </w:t>
      </w:r>
      <w:r w:rsidR="00E01E1F" w:rsidRPr="00B20AF6">
        <w:t xml:space="preserve">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w:t>
      </w:r>
      <w:r w:rsidR="00E01E1F" w:rsidRPr="0005461F">
        <w:t xml:space="preserve">Arm sein Gesicht und ist nicht vollständig erkennbar. Über der grünen Armeekleidung trägt er eine gräuliche Schutzweste. Im Hintergrund sind </w:t>
      </w:r>
      <w:r w:rsidR="00F97DAF" w:rsidRPr="0005461F">
        <w:t xml:space="preserve">hinter </w:t>
      </w:r>
      <w:r w:rsidR="0005461F" w:rsidRPr="0005461F">
        <w:t>S</w:t>
      </w:r>
      <w:r w:rsidR="00F97DAF" w:rsidRPr="0005461F">
        <w:t xml:space="preserve">eilen </w:t>
      </w:r>
      <w:r w:rsidR="00E01E1F" w:rsidRPr="0005461F">
        <w:t>verschiede</w:t>
      </w:r>
      <w:r w:rsidR="0005461F" w:rsidRPr="0005461F">
        <w:t xml:space="preserve">ne grüne und hellbraune Taschen </w:t>
      </w:r>
      <w:r w:rsidR="00E01E1F" w:rsidRPr="0005461F">
        <w:t xml:space="preserve">festgemacht. </w:t>
      </w:r>
    </w:p>
    <w:p w:rsidR="009F4A29" w:rsidRDefault="003213F1" w:rsidP="00FE7109">
      <w:pPr>
        <w:pStyle w:val="IDPAberschrift1"/>
        <w:spacing w:line="360" w:lineRule="auto"/>
      </w:pPr>
      <w:bookmarkStart w:id="3" w:name="_Toc530426243"/>
      <w:r>
        <w:t>Kommentar</w:t>
      </w:r>
      <w:bookmarkEnd w:id="3"/>
    </w:p>
    <w:p w:rsidR="00FF5859" w:rsidRDefault="008B7121" w:rsidP="00CA7845">
      <w:pPr>
        <w:pStyle w:val="IDPA-Standard"/>
      </w:pPr>
      <w:bookmarkStart w:id="4" w:name="_Toc530426244"/>
      <w:r w:rsidRPr="0005461F">
        <w:t xml:space="preserve">Ken, Michael und Andy sind in verschiedenen </w:t>
      </w:r>
      <w:proofErr w:type="spellStart"/>
      <w:r w:rsidRPr="0005461F">
        <w:t>Millitärfahrzeugen</w:t>
      </w:r>
      <w:proofErr w:type="spellEnd"/>
      <w:r w:rsidRPr="0005461F">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E45BE5">
        <w:t>,</w:t>
      </w:r>
      <w:r>
        <w:t xml:space="preserve"> </w:t>
      </w:r>
      <w:r w:rsidR="00D034DD" w:rsidRPr="00D034DD">
        <w:rPr>
          <w:color w:val="FF0000"/>
        </w:rPr>
        <w:t>wie viele ihrer Kollegen</w:t>
      </w:r>
      <w:r w:rsidR="00E45BE5">
        <w:rPr>
          <w:color w:val="FF0000"/>
        </w:rPr>
        <w:t>,</w:t>
      </w:r>
      <w:r w:rsidR="00D034DD" w:rsidRPr="00D034DD">
        <w:rPr>
          <w:color w:val="FF0000"/>
        </w:rPr>
        <w:t xml:space="preserve"> </w:t>
      </w:r>
      <w:r>
        <w:t>an einer posttraumatischen Belastungsstörung. Eine Posttraumatische Belastungsstörung tritt als eine verzögerte psychische Reaktion auf ein extrem belastendes Ereignis, eine Situation außergewöhnlicher Bedro</w:t>
      </w:r>
      <w:bookmarkStart w:id="5" w:name="_GoBack"/>
      <w:bookmarkEnd w:id="5"/>
      <w:r>
        <w:t xml:space="preserve">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w:t>
      </w:r>
      <w:r w:rsidRPr="00CD462F">
        <w:t xml:space="preserve">en. </w:t>
      </w:r>
      <w:r w:rsidRPr="00231659">
        <w:t xml:space="preserve">In den </w:t>
      </w:r>
      <w:r w:rsidR="00E45BE5" w:rsidRPr="00231659">
        <w:t>nach</w:t>
      </w:r>
      <w:r w:rsidRPr="00231659">
        <w:t xml:space="preserve">folgenden Kriegen wurden diese Symptome immer wieder festgestellt. </w:t>
      </w:r>
      <w:r w:rsidR="00F34A08" w:rsidRPr="00231659">
        <w:rPr>
          <w:rStyle w:val="Funotenzeichen"/>
          <w:color w:val="FF0000"/>
        </w:rPr>
        <w:footnoteReference w:id="13"/>
      </w:r>
      <w:r w:rsidR="00231659" w:rsidRPr="00231659">
        <w:rPr>
          <w:color w:val="FF0000"/>
        </w:rPr>
        <w:t xml:space="preserve"> ev. </w:t>
      </w:r>
      <w:r w:rsidR="00231659">
        <w:rPr>
          <w:color w:val="FF0000"/>
        </w:rPr>
        <w:t>ändern</w:t>
      </w:r>
    </w:p>
    <w:p w:rsidR="003213F1" w:rsidRDefault="003213F1" w:rsidP="00FE7109">
      <w:pPr>
        <w:pStyle w:val="IDPAberschrift1"/>
        <w:spacing w:line="360" w:lineRule="auto"/>
      </w:pPr>
      <w:r>
        <w:t>Fazit</w:t>
      </w:r>
      <w:bookmarkEnd w:id="4"/>
    </w:p>
    <w:p w:rsidR="00231659" w:rsidRDefault="00231659" w:rsidP="00FE7109">
      <w:pPr>
        <w:pStyle w:val="IDPA-Standard"/>
        <w:rPr>
          <w:lang w:val="de-CH"/>
        </w:rPr>
      </w:pPr>
    </w:p>
    <w:p w:rsidR="00231659" w:rsidRDefault="00231659" w:rsidP="00FE7109">
      <w:pPr>
        <w:pStyle w:val="IDPA-Standard"/>
        <w:rPr>
          <w:lang w:val="de-CH"/>
        </w:rPr>
      </w:pPr>
      <w:r>
        <w:rPr>
          <w:lang w:val="de-CH"/>
        </w:rPr>
        <w:t xml:space="preserve">Die gesundheitlichen Folgen der Soldaten nach dem Golfkrieg sind unter dem </w:t>
      </w:r>
      <w:proofErr w:type="spellStart"/>
      <w:r>
        <w:rPr>
          <w:lang w:val="de-CH"/>
        </w:rPr>
        <w:t>Golfkriegssxnform</w:t>
      </w:r>
      <w:proofErr w:type="spellEnd"/>
      <w:r>
        <w:rPr>
          <w:lang w:val="de-CH"/>
        </w:rPr>
        <w:t xml:space="preserve"> zusammengefasst.  </w:t>
      </w:r>
      <w:r w:rsidR="00275F39">
        <w:rPr>
          <w:lang w:val="de-CH"/>
        </w:rPr>
        <w:t>Unter diesem Syndrom werden die gesundheitlichen Sch</w:t>
      </w:r>
      <w:r>
        <w:rPr>
          <w:lang w:val="de-CH"/>
        </w:rPr>
        <w:t>äden der Soldaten beschrieben.</w:t>
      </w:r>
      <w:r w:rsidRPr="00231659">
        <w:rPr>
          <w:lang w:val="de-CH"/>
        </w:rPr>
        <w:t xml:space="preserve"> </w:t>
      </w:r>
      <w:r>
        <w:rPr>
          <w:lang w:val="de-CH"/>
        </w:rPr>
        <w:t xml:space="preserve">Neben psychischen Schäden beinhaltet das auch physische Schäden.  </w:t>
      </w:r>
    </w:p>
    <w:p w:rsidR="00231659" w:rsidRDefault="00231659" w:rsidP="00FE7109">
      <w:pPr>
        <w:pStyle w:val="IDPA-Standard"/>
        <w:rPr>
          <w:lang w:val="de-CH"/>
        </w:rPr>
      </w:pPr>
      <w:r>
        <w:rPr>
          <w:lang w:val="de-CH"/>
        </w:rPr>
        <w:t xml:space="preserve"> Ein </w:t>
      </w:r>
      <w:proofErr w:type="spellStart"/>
      <w:r>
        <w:rPr>
          <w:lang w:val="de-CH"/>
        </w:rPr>
        <w:t>wesentlciher</w:t>
      </w:r>
      <w:proofErr w:type="spellEnd"/>
      <w:r>
        <w:rPr>
          <w:lang w:val="de-CH"/>
        </w:rPr>
        <w:t xml:space="preserve"> Teil dieses Syndroms sind Posttraumatische </w:t>
      </w:r>
      <w:proofErr w:type="spellStart"/>
      <w:r>
        <w:rPr>
          <w:lang w:val="de-CH"/>
        </w:rPr>
        <w:t>Belastungstörungen</w:t>
      </w:r>
      <w:proofErr w:type="spellEnd"/>
      <w:r>
        <w:rPr>
          <w:lang w:val="de-CH"/>
        </w:rPr>
        <w:t xml:space="preserve">, unter welchem auch die Soldaten auf unserem Bild leiden.  </w:t>
      </w:r>
    </w:p>
    <w:p w:rsidR="00C764CA" w:rsidRDefault="00C764CA" w:rsidP="00FE7109">
      <w:pPr>
        <w:pStyle w:val="IDPA-Standard"/>
        <w:rPr>
          <w:lang w:val="de-CH"/>
        </w:rPr>
      </w:pPr>
    </w:p>
    <w:p w:rsidR="00F9598F" w:rsidRDefault="00F9598F" w:rsidP="00FE7109">
      <w:pPr>
        <w:pStyle w:val="IDPA-Standard"/>
        <w:rPr>
          <w:lang w:val="de-CH"/>
        </w:rPr>
      </w:pPr>
      <w:r>
        <w:rPr>
          <w:lang w:val="de-CH"/>
        </w:rPr>
        <w:t>Zusammenhang mit anderen Kriegen im Fazit beantworten -&gt; Als Ziel/</w:t>
      </w:r>
      <w:proofErr w:type="gramStart"/>
      <w:r>
        <w:rPr>
          <w:lang w:val="de-CH"/>
        </w:rPr>
        <w:t>Hypothese  in</w:t>
      </w:r>
      <w:proofErr w:type="gramEnd"/>
      <w:r>
        <w:rPr>
          <w:lang w:val="de-CH"/>
        </w:rPr>
        <w:t xml:space="preserve"> der Einleitung formulieren  </w:t>
      </w:r>
      <w:r w:rsidR="00231659">
        <w:rPr>
          <w:lang w:val="de-CH"/>
        </w:rPr>
        <w:t xml:space="preserve">andere Namen. Forschung ist besser geworden. Zusammenhänge mit den kriegen. Schäden, welche wir im </w:t>
      </w:r>
      <w:proofErr w:type="spellStart"/>
      <w:r w:rsidR="00231659">
        <w:rPr>
          <w:lang w:val="de-CH"/>
        </w:rPr>
        <w:t>geschichtsunterrichjt</w:t>
      </w:r>
      <w:proofErr w:type="spellEnd"/>
      <w:r w:rsidR="00231659">
        <w:rPr>
          <w:lang w:val="de-CH"/>
        </w:rPr>
        <w:t xml:space="preserve"> </w:t>
      </w:r>
      <w:proofErr w:type="spellStart"/>
      <w:r w:rsidR="00231659">
        <w:rPr>
          <w:lang w:val="de-CH"/>
        </w:rPr>
        <w:t>gehbat</w:t>
      </w:r>
      <w:proofErr w:type="spellEnd"/>
      <w:r w:rsidR="00231659">
        <w:rPr>
          <w:lang w:val="de-CH"/>
        </w:rPr>
        <w:t xml:space="preserve"> haben </w:t>
      </w:r>
      <w:proofErr w:type="spellStart"/>
      <w:r w:rsidR="00231659">
        <w:rPr>
          <w:lang w:val="de-CH"/>
        </w:rPr>
        <w:t>zusammenhang</w:t>
      </w:r>
      <w:proofErr w:type="spellEnd"/>
      <w:r w:rsidR="00231659">
        <w:rPr>
          <w:lang w:val="de-CH"/>
        </w:rPr>
        <w:t xml:space="preserve"> mit den </w:t>
      </w:r>
      <w:proofErr w:type="spellStart"/>
      <w:r w:rsidR="00231659">
        <w:rPr>
          <w:lang w:val="de-CH"/>
        </w:rPr>
        <w:t>schöden</w:t>
      </w:r>
      <w:proofErr w:type="spellEnd"/>
      <w:r w:rsidR="00231659">
        <w:rPr>
          <w:lang w:val="de-CH"/>
        </w:rPr>
        <w:t xml:space="preserve"> des Golfkrieges. </w:t>
      </w:r>
    </w:p>
    <w:p w:rsidR="008B7121" w:rsidRPr="001C321C" w:rsidRDefault="001C321C">
      <w:pPr>
        <w:rPr>
          <w:rFonts w:ascii="Arial" w:hAnsi="Arial" w:cs="Arial"/>
        </w:rPr>
      </w:pPr>
      <w:bookmarkStart w:id="6" w:name="_Toc530426245"/>
      <w:r>
        <w:rPr>
          <w:rFonts w:ascii="Arial" w:hAnsi="Arial" w:cs="Arial"/>
        </w:rPr>
        <w:br/>
      </w:r>
      <w:r w:rsidRPr="001C321C">
        <w:rPr>
          <w:rFonts w:ascii="Arial" w:hAnsi="Arial" w:cs="Arial"/>
        </w:rPr>
        <w:t>Depressio</w:t>
      </w:r>
      <w:r>
        <w:rPr>
          <w:rFonts w:ascii="Arial" w:hAnsi="Arial" w:cs="Arial"/>
        </w:rPr>
        <w:t xml:space="preserve">nen und Amokläufe Paranoia Verfolgungswahn </w:t>
      </w:r>
    </w:p>
    <w:p w:rsidR="00E45BE5" w:rsidRDefault="001C321C">
      <w:pPr>
        <w:rPr>
          <w:rFonts w:ascii="Arial" w:hAnsi="Arial" w:cs="Arial"/>
        </w:rPr>
      </w:pPr>
      <w:r w:rsidRPr="001C321C">
        <w:rPr>
          <w:rFonts w:ascii="Arial" w:hAnsi="Arial" w:cs="Arial"/>
        </w:rPr>
        <w:lastRenderedPageBreak/>
        <w:t>Veteranen</w:t>
      </w:r>
      <w:r>
        <w:rPr>
          <w:rFonts w:ascii="Arial" w:hAnsi="Arial" w:cs="Arial"/>
        </w:rPr>
        <w:t xml:space="preserve">, welche Amok laufen / Suizid beginnen </w:t>
      </w:r>
    </w:p>
    <w:p w:rsidR="00231659" w:rsidRPr="001C321C" w:rsidRDefault="00231659">
      <w:pPr>
        <w:rPr>
          <w:rFonts w:ascii="Arial" w:hAnsi="Arial" w:cs="Arial"/>
        </w:rPr>
      </w:pPr>
      <w:r>
        <w:rPr>
          <w:rFonts w:ascii="Arial" w:hAnsi="Arial" w:cs="Arial"/>
        </w:rPr>
        <w:t xml:space="preserve">Viele Veteranen, ehemalige Soldaten, welche im </w:t>
      </w:r>
      <w:proofErr w:type="spellStart"/>
      <w:r>
        <w:rPr>
          <w:rFonts w:ascii="Arial" w:hAnsi="Arial" w:cs="Arial"/>
        </w:rPr>
        <w:t>golfkrige</w:t>
      </w:r>
      <w:proofErr w:type="spellEnd"/>
      <w:r>
        <w:rPr>
          <w:rFonts w:ascii="Arial" w:hAnsi="Arial" w:cs="Arial"/>
        </w:rPr>
        <w:t xml:space="preserve"> </w:t>
      </w:r>
      <w:proofErr w:type="spellStart"/>
      <w:r>
        <w:rPr>
          <w:rFonts w:ascii="Arial" w:hAnsi="Arial" w:cs="Arial"/>
        </w:rPr>
        <w:t>gedeint</w:t>
      </w:r>
      <w:proofErr w:type="spellEnd"/>
      <w:r>
        <w:rPr>
          <w:rFonts w:ascii="Arial" w:hAnsi="Arial" w:cs="Arial"/>
        </w:rPr>
        <w:t xml:space="preserve"> haben beginnen Suizid. </w:t>
      </w:r>
    </w:p>
    <w:p w:rsidR="00E45BE5" w:rsidRDefault="00D753CC">
      <w:pPr>
        <w:rPr>
          <w:rFonts w:ascii="Arial" w:eastAsiaTheme="majorEastAsia" w:hAnsi="Arial" w:cstheme="majorBidi"/>
          <w:b/>
          <w:sz w:val="28"/>
          <w:szCs w:val="32"/>
          <w:lang w:val="de-DE"/>
        </w:rPr>
      </w:pPr>
      <w:hyperlink r:id="rId11" w:history="1">
        <w:r w:rsidRPr="0046644E">
          <w:rPr>
            <w:rStyle w:val="Hyperlink"/>
            <w:rFonts w:ascii="Arial" w:eastAsiaTheme="majorEastAsia" w:hAnsi="Arial" w:cstheme="majorBidi"/>
            <w:b/>
            <w:sz w:val="28"/>
            <w:szCs w:val="32"/>
            <w:lang w:val="de-DE"/>
          </w:rPr>
          <w:t>https://www.nzz.ch/gesellsc</w:t>
        </w:r>
        <w:r w:rsidRPr="0046644E">
          <w:rPr>
            <w:rStyle w:val="Hyperlink"/>
            <w:rFonts w:ascii="Arial" w:eastAsiaTheme="majorEastAsia" w:hAnsi="Arial" w:cstheme="majorBidi"/>
            <w:b/>
            <w:sz w:val="28"/>
            <w:szCs w:val="32"/>
            <w:lang w:val="de-DE"/>
          </w:rPr>
          <w:t>h</w:t>
        </w:r>
        <w:r w:rsidRPr="0046644E">
          <w:rPr>
            <w:rStyle w:val="Hyperlink"/>
            <w:rFonts w:ascii="Arial" w:eastAsiaTheme="majorEastAsia" w:hAnsi="Arial" w:cstheme="majorBidi"/>
            <w:b/>
            <w:sz w:val="28"/>
            <w:szCs w:val="32"/>
            <w:lang w:val="de-DE"/>
          </w:rPr>
          <w:t>aft/die-gebrochenen-helden-ld.1326621</w:t>
        </w:r>
      </w:hyperlink>
      <w:r>
        <w:rPr>
          <w:rFonts w:ascii="Arial" w:eastAsiaTheme="majorEastAsia" w:hAnsi="Arial" w:cstheme="majorBidi"/>
          <w:b/>
          <w:sz w:val="28"/>
          <w:szCs w:val="32"/>
          <w:lang w:val="de-DE"/>
        </w:rPr>
        <w:t xml:space="preserve"> </w:t>
      </w:r>
    </w:p>
    <w:p w:rsidR="00E45BE5" w:rsidRDefault="00E45BE5">
      <w:pPr>
        <w:rPr>
          <w:rFonts w:ascii="Arial" w:eastAsiaTheme="majorEastAsia" w:hAnsi="Arial" w:cstheme="majorBidi"/>
          <w:b/>
          <w:sz w:val="28"/>
          <w:szCs w:val="32"/>
          <w:lang w:val="de-DE"/>
        </w:rPr>
      </w:pPr>
    </w:p>
    <w:p w:rsidR="00E45BE5" w:rsidRPr="00F9598F" w:rsidRDefault="00F9598F" w:rsidP="00F9598F">
      <w:pPr>
        <w:pStyle w:val="IDPA-Standard"/>
      </w:pPr>
      <w:r w:rsidRPr="00F9598F">
        <w:t xml:space="preserve">____________________________halbe Seite </w:t>
      </w:r>
      <w:proofErr w:type="spellStart"/>
      <w:r w:rsidRPr="00F9598F">
        <w:t>ca</w:t>
      </w:r>
      <w:proofErr w:type="spellEnd"/>
    </w:p>
    <w:p w:rsidR="00E45BE5" w:rsidRDefault="00E45BE5">
      <w:pPr>
        <w:rPr>
          <w:rFonts w:ascii="Arial" w:eastAsiaTheme="majorEastAsia" w:hAnsi="Arial" w:cstheme="majorBidi"/>
          <w:b/>
          <w:sz w:val="28"/>
          <w:szCs w:val="32"/>
          <w:lang w:val="de-DE"/>
        </w:rPr>
      </w:pPr>
    </w:p>
    <w:p w:rsidR="00E45BE5" w:rsidRDefault="00E45BE5">
      <w:pPr>
        <w:rPr>
          <w:rFonts w:ascii="Arial" w:eastAsiaTheme="majorEastAsia" w:hAnsi="Arial" w:cstheme="majorBidi"/>
          <w:b/>
          <w:sz w:val="28"/>
          <w:szCs w:val="32"/>
          <w:lang w:val="de-DE"/>
        </w:rPr>
      </w:pPr>
      <w:r>
        <w:rPr>
          <w:rFonts w:ascii="Arial" w:eastAsiaTheme="majorEastAsia" w:hAnsi="Arial" w:cstheme="majorBidi"/>
          <w:b/>
          <w:sz w:val="28"/>
          <w:szCs w:val="32"/>
          <w:lang w:val="de-DE"/>
        </w:rPr>
        <w:br w:type="page"/>
      </w:r>
    </w:p>
    <w:p w:rsidR="00C764CA" w:rsidRPr="00910E23" w:rsidRDefault="00C764CA" w:rsidP="00FE7109">
      <w:pPr>
        <w:pStyle w:val="IDPAberschrift1"/>
        <w:spacing w:line="360" w:lineRule="auto"/>
        <w:rPr>
          <w:lang w:val="de-DE"/>
        </w:rPr>
      </w:pPr>
      <w:r w:rsidRPr="00910E23">
        <w:rPr>
          <w:lang w:val="de-DE"/>
        </w:rPr>
        <w:lastRenderedPageBreak/>
        <w:t>Literaturverzeichnis</w:t>
      </w:r>
      <w:bookmarkEnd w:id="6"/>
    </w:p>
    <w:p w:rsidR="00C764CA" w:rsidRDefault="00C764CA" w:rsidP="00FE7109">
      <w:pPr>
        <w:pStyle w:val="IDPA-Standard"/>
        <w:rPr>
          <w:lang w:val="de-CH"/>
        </w:rPr>
      </w:pPr>
    </w:p>
    <w:p w:rsidR="00F75420" w:rsidRPr="00C857F2" w:rsidRDefault="00F75420" w:rsidP="00D753CC">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E0235A" w:rsidRDefault="00F75420" w:rsidP="00D753CC">
      <w:pPr>
        <w:spacing w:line="360" w:lineRule="auto"/>
        <w:rPr>
          <w:rFonts w:ascii="Arial" w:hAnsi="Arial" w:cs="Arial"/>
          <w:lang w:val="de-DE"/>
        </w:rPr>
      </w:pPr>
      <w:r w:rsidRPr="00E0235A">
        <w:rPr>
          <w:rFonts w:ascii="Arial" w:hAnsi="Arial" w:cs="Arial"/>
          <w:i/>
          <w:lang w:val="de-DE"/>
        </w:rPr>
        <w:t>https://www.heise.de/tp/features/Das-Golfkriegssyndrom-wird-teuer-3437183.html</w:t>
      </w:r>
      <w:r w:rsidRPr="00E0235A">
        <w:rPr>
          <w:rFonts w:ascii="Arial" w:hAnsi="Arial" w:cs="Arial"/>
          <w:lang w:val="de-DE"/>
        </w:rPr>
        <w:t xml:space="preserve"> </w:t>
      </w:r>
      <w:r w:rsidRPr="00E0235A">
        <w:rPr>
          <w:rFonts w:ascii="Arial" w:hAnsi="Arial" w:cs="Arial"/>
          <w:lang w:val="de-DE"/>
        </w:rPr>
        <w:br/>
        <w:t>(Stand 21.11.2008)</w:t>
      </w:r>
    </w:p>
    <w:p w:rsidR="00F75420" w:rsidRPr="00C857F2" w:rsidRDefault="00F75420" w:rsidP="00D753CC">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FE7109">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D753CC" w:rsidRPr="00D753CC" w:rsidRDefault="00D753CC" w:rsidP="00D753CC">
      <w:pPr>
        <w:pStyle w:val="StandardWeb"/>
        <w:spacing w:before="0" w:beforeAutospacing="0" w:after="0" w:afterAutospacing="0" w:line="360" w:lineRule="auto"/>
        <w:textAlignment w:val="baseline"/>
        <w:rPr>
          <w:rFonts w:ascii="Arial" w:eastAsiaTheme="minorHAnsi" w:hAnsi="Arial" w:cs="Arial"/>
          <w:sz w:val="22"/>
          <w:szCs w:val="22"/>
          <w:lang w:val="de-DE" w:eastAsia="en-US"/>
        </w:rPr>
      </w:pPr>
      <w:proofErr w:type="spellStart"/>
      <w:r w:rsidRPr="00D753CC">
        <w:rPr>
          <w:rFonts w:ascii="Arial" w:eastAsiaTheme="minorHAnsi" w:hAnsi="Arial" w:cs="Arial"/>
          <w:sz w:val="22"/>
          <w:szCs w:val="22"/>
          <w:lang w:val="de-DE" w:eastAsia="en-US"/>
        </w:rPr>
        <w:t>Worldpressphoto</w:t>
      </w:r>
      <w:proofErr w:type="spellEnd"/>
      <w:r>
        <w:rPr>
          <w:rFonts w:ascii="Arial" w:eastAsiaTheme="minorHAnsi" w:hAnsi="Arial" w:cs="Arial"/>
          <w:sz w:val="22"/>
          <w:szCs w:val="22"/>
          <w:lang w:val="de-DE" w:eastAsia="en-US"/>
        </w:rPr>
        <w:t>. S</w:t>
      </w:r>
      <w:r w:rsidRPr="00D753CC">
        <w:rPr>
          <w:rFonts w:ascii="Arial" w:eastAsiaTheme="minorHAnsi" w:hAnsi="Arial" w:cs="Arial"/>
          <w:b/>
          <w:color w:val="FF0000"/>
          <w:sz w:val="22"/>
          <w:szCs w:val="22"/>
          <w:lang w:val="de-DE" w:eastAsia="en-US"/>
        </w:rPr>
        <w:t>TAND</w:t>
      </w:r>
      <w:r w:rsidRPr="00D753CC">
        <w:rPr>
          <w:rFonts w:ascii="Arial" w:eastAsiaTheme="minorHAnsi" w:hAnsi="Arial" w:cs="Arial"/>
          <w:sz w:val="22"/>
          <w:szCs w:val="22"/>
          <w:lang w:val="de-DE" w:eastAsia="en-US"/>
        </w:rPr>
        <w:t xml:space="preserve">. </w:t>
      </w:r>
      <w:r w:rsidRPr="00D753CC">
        <w:rPr>
          <w:rFonts w:ascii="Arial" w:eastAsiaTheme="minorHAnsi" w:hAnsi="Arial" w:cs="Arial"/>
          <w:sz w:val="22"/>
          <w:szCs w:val="22"/>
          <w:lang w:val="de-DE" w:eastAsia="en-US"/>
        </w:rPr>
        <w:t xml:space="preserve">World Press </w:t>
      </w:r>
      <w:proofErr w:type="spellStart"/>
      <w:r w:rsidRPr="00D753CC">
        <w:rPr>
          <w:rFonts w:ascii="Arial" w:eastAsiaTheme="minorHAnsi" w:hAnsi="Arial" w:cs="Arial"/>
          <w:sz w:val="22"/>
          <w:szCs w:val="22"/>
          <w:lang w:val="de-DE" w:eastAsia="en-US"/>
        </w:rPr>
        <w:t>Photo</w:t>
      </w:r>
      <w:proofErr w:type="spellEnd"/>
      <w:r w:rsidRPr="00D753CC">
        <w:rPr>
          <w:rFonts w:ascii="Arial" w:eastAsiaTheme="minorHAnsi" w:hAnsi="Arial" w:cs="Arial"/>
          <w:sz w:val="22"/>
          <w:szCs w:val="22"/>
          <w:lang w:val="de-DE" w:eastAsia="en-US"/>
        </w:rPr>
        <w:t xml:space="preserve"> </w:t>
      </w:r>
      <w:proofErr w:type="spellStart"/>
      <w:r w:rsidRPr="00D753CC">
        <w:rPr>
          <w:rFonts w:ascii="Arial" w:eastAsiaTheme="minorHAnsi" w:hAnsi="Arial" w:cs="Arial"/>
          <w:sz w:val="22"/>
          <w:szCs w:val="22"/>
          <w:lang w:val="de-DE" w:eastAsia="en-US"/>
        </w:rPr>
        <w:t>of</w:t>
      </w:r>
      <w:proofErr w:type="spellEnd"/>
      <w:r w:rsidRPr="00D753CC">
        <w:rPr>
          <w:rFonts w:ascii="Arial" w:eastAsiaTheme="minorHAnsi" w:hAnsi="Arial" w:cs="Arial"/>
          <w:sz w:val="22"/>
          <w:szCs w:val="22"/>
          <w:lang w:val="de-DE" w:eastAsia="en-US"/>
        </w:rPr>
        <w:t xml:space="preserve"> </w:t>
      </w:r>
      <w:proofErr w:type="spellStart"/>
      <w:r w:rsidRPr="00D753CC">
        <w:rPr>
          <w:rFonts w:ascii="Arial" w:eastAsiaTheme="minorHAnsi" w:hAnsi="Arial" w:cs="Arial"/>
          <w:sz w:val="22"/>
          <w:szCs w:val="22"/>
          <w:lang w:val="de-DE" w:eastAsia="en-US"/>
        </w:rPr>
        <w:t>the</w:t>
      </w:r>
      <w:proofErr w:type="spellEnd"/>
      <w:r w:rsidRPr="00D753CC">
        <w:rPr>
          <w:rFonts w:ascii="Arial" w:eastAsiaTheme="minorHAnsi" w:hAnsi="Arial" w:cs="Arial"/>
          <w:sz w:val="22"/>
          <w:szCs w:val="22"/>
          <w:lang w:val="de-DE" w:eastAsia="en-US"/>
        </w:rPr>
        <w:t xml:space="preserve"> Year</w:t>
      </w:r>
    </w:p>
    <w:p w:rsidR="00D753CC" w:rsidRPr="00D753CC" w:rsidRDefault="00231659" w:rsidP="00D753CC">
      <w:pPr>
        <w:spacing w:line="360" w:lineRule="auto"/>
        <w:rPr>
          <w:rFonts w:ascii="Arial" w:hAnsi="Arial" w:cs="Arial"/>
          <w:lang w:val="de-DE"/>
        </w:rPr>
      </w:pPr>
      <w:hyperlink r:id="rId12" w:history="1">
        <w:r w:rsidR="00F75420" w:rsidRPr="00D753CC">
          <w:rPr>
            <w:rFonts w:ascii="Arial" w:hAnsi="Arial" w:cs="Arial"/>
            <w:i/>
            <w:lang w:val="de-DE"/>
          </w:rPr>
          <w:t>https://www.worldpressphoto.org/collection/photo/1992/world-press-photo-year/david-turnley</w:t>
        </w:r>
      </w:hyperlink>
      <w:r w:rsidR="00F75420" w:rsidRPr="00D753CC">
        <w:rPr>
          <w:rFonts w:ascii="Arial" w:hAnsi="Arial" w:cs="Arial"/>
          <w:i/>
          <w:lang w:val="de-DE"/>
        </w:rPr>
        <w:t xml:space="preserve"> </w:t>
      </w:r>
      <w:r w:rsidR="00D753CC">
        <w:rPr>
          <w:rFonts w:ascii="Arial" w:hAnsi="Arial" w:cs="Arial"/>
          <w:i/>
          <w:lang w:val="de-DE"/>
        </w:rPr>
        <w:br/>
      </w:r>
      <w:r w:rsidR="00D753CC" w:rsidRPr="00D753CC">
        <w:rPr>
          <w:rFonts w:ascii="Arial" w:hAnsi="Arial" w:cs="Arial"/>
          <w:b/>
          <w:color w:val="FF0000"/>
          <w:lang w:val="de-DE"/>
        </w:rPr>
        <w:t>Stand()</w:t>
      </w:r>
    </w:p>
    <w:p w:rsidR="008B7121" w:rsidRDefault="00EE78E1" w:rsidP="008B7121">
      <w:pPr>
        <w:spacing w:line="360" w:lineRule="auto"/>
        <w:rPr>
          <w:rFonts w:ascii="Arial" w:hAnsi="Arial" w:cs="Arial"/>
          <w:i/>
          <w:color w:val="FF0000"/>
        </w:rPr>
      </w:pPr>
      <w:r w:rsidRPr="00E0235A">
        <w:rPr>
          <w:rFonts w:ascii="Arial" w:hAnsi="Arial" w:cs="Arial"/>
          <w:lang w:val="de-DE"/>
        </w:rPr>
        <w:t xml:space="preserve">Graham, Tim.2015. </w:t>
      </w:r>
      <w:proofErr w:type="spellStart"/>
      <w:r w:rsidRPr="00E0235A">
        <w:rPr>
          <w:rFonts w:ascii="Arial" w:hAnsi="Arial" w:cs="Arial"/>
          <w:lang w:val="de-DE"/>
        </w:rPr>
        <w:t>Strangers</w:t>
      </w:r>
      <w:proofErr w:type="spellEnd"/>
      <w:r w:rsidRPr="00E0235A">
        <w:rPr>
          <w:rFonts w:ascii="Arial" w:hAnsi="Arial" w:cs="Arial"/>
          <w:lang w:val="de-DE"/>
        </w:rPr>
        <w:t xml:space="preserve"> </w:t>
      </w:r>
      <w:proofErr w:type="spellStart"/>
      <w:r w:rsidRPr="00E0235A">
        <w:rPr>
          <w:rFonts w:ascii="Arial" w:hAnsi="Arial" w:cs="Arial"/>
          <w:lang w:val="de-DE"/>
        </w:rPr>
        <w:t>linked</w:t>
      </w:r>
      <w:proofErr w:type="spellEnd"/>
      <w:r w:rsidRPr="00E0235A">
        <w:rPr>
          <w:rFonts w:ascii="Arial" w:hAnsi="Arial" w:cs="Arial"/>
          <w:lang w:val="de-DE"/>
        </w:rPr>
        <w:t xml:space="preserve"> </w:t>
      </w:r>
      <w:proofErr w:type="spellStart"/>
      <w:r w:rsidRPr="00E0235A">
        <w:rPr>
          <w:rFonts w:ascii="Arial" w:hAnsi="Arial" w:cs="Arial"/>
          <w:lang w:val="de-DE"/>
        </w:rPr>
        <w:t>by</w:t>
      </w:r>
      <w:proofErr w:type="spellEnd"/>
      <w:r w:rsidRPr="00E0235A">
        <w:rPr>
          <w:rFonts w:ascii="Arial" w:hAnsi="Arial" w:cs="Arial"/>
          <w:lang w:val="de-DE"/>
        </w:rPr>
        <w:t xml:space="preserve"> </w:t>
      </w:r>
      <w:proofErr w:type="spellStart"/>
      <w:r w:rsidRPr="00E0235A">
        <w:rPr>
          <w:rFonts w:ascii="Arial" w:hAnsi="Arial" w:cs="Arial"/>
          <w:lang w:val="de-DE"/>
        </w:rPr>
        <w:t>iconic</w:t>
      </w:r>
      <w:proofErr w:type="spellEnd"/>
      <w:r w:rsidRPr="00E0235A">
        <w:rPr>
          <w:rFonts w:ascii="Arial" w:hAnsi="Arial" w:cs="Arial"/>
          <w:lang w:val="de-DE"/>
        </w:rPr>
        <w:t xml:space="preserve"> </w:t>
      </w:r>
      <w:proofErr w:type="spellStart"/>
      <w:r w:rsidRPr="00E0235A">
        <w:rPr>
          <w:rFonts w:ascii="Arial" w:hAnsi="Arial" w:cs="Arial"/>
          <w:lang w:val="de-DE"/>
        </w:rPr>
        <w:t>Desert</w:t>
      </w:r>
      <w:proofErr w:type="spellEnd"/>
      <w:r w:rsidRPr="00E0235A">
        <w:rPr>
          <w:rFonts w:ascii="Arial" w:hAnsi="Arial" w:cs="Arial"/>
          <w:lang w:val="de-DE"/>
        </w:rPr>
        <w:t xml:space="preserve"> Storm </w:t>
      </w:r>
      <w:proofErr w:type="spellStart"/>
      <w:r w:rsidRPr="00E0235A">
        <w:rPr>
          <w:rFonts w:ascii="Arial" w:hAnsi="Arial" w:cs="Arial"/>
          <w:lang w:val="de-DE"/>
        </w:rPr>
        <w:t>photo</w:t>
      </w:r>
      <w:proofErr w:type="spellEnd"/>
      <w:r w:rsidRPr="00E0235A">
        <w:rPr>
          <w:rFonts w:ascii="Arial" w:hAnsi="Arial" w:cs="Arial"/>
          <w:lang w:val="de-DE"/>
        </w:rPr>
        <w:t xml:space="preserve"> </w:t>
      </w:r>
      <w:proofErr w:type="spellStart"/>
      <w:r w:rsidRPr="00E0235A">
        <w:rPr>
          <w:rFonts w:ascii="Arial" w:hAnsi="Arial" w:cs="Arial"/>
          <w:lang w:val="de-DE"/>
        </w:rPr>
        <w:t>finally</w:t>
      </w:r>
      <w:proofErr w:type="spellEnd"/>
      <w:r w:rsidRPr="00E0235A">
        <w:rPr>
          <w:rFonts w:ascii="Arial" w:hAnsi="Arial" w:cs="Arial"/>
          <w:lang w:val="de-DE"/>
        </w:rPr>
        <w:t xml:space="preserve"> </w:t>
      </w:r>
      <w:proofErr w:type="spellStart"/>
      <w:r w:rsidRPr="00E0235A">
        <w:rPr>
          <w:rFonts w:ascii="Arial" w:hAnsi="Arial" w:cs="Arial"/>
          <w:lang w:val="de-DE"/>
        </w:rPr>
        <w:t>meet</w:t>
      </w:r>
      <w:proofErr w:type="spellEnd"/>
      <w:r w:rsidRPr="00E0235A">
        <w:rPr>
          <w:rFonts w:ascii="Arial" w:hAnsi="Arial" w:cs="Arial"/>
          <w:lang w:val="de-DE"/>
        </w:rPr>
        <w:t xml:space="preserve"> 24 </w:t>
      </w:r>
      <w:proofErr w:type="spellStart"/>
      <w:r w:rsidRPr="00E0235A">
        <w:rPr>
          <w:rFonts w:ascii="Arial" w:hAnsi="Arial" w:cs="Arial"/>
          <w:lang w:val="de-DE"/>
        </w:rPr>
        <w:t>years</w:t>
      </w:r>
      <w:proofErr w:type="spellEnd"/>
      <w:r w:rsidRPr="00E0235A">
        <w:rPr>
          <w:rFonts w:ascii="Arial" w:hAnsi="Arial" w:cs="Arial"/>
          <w:lang w:val="de-DE"/>
        </w:rPr>
        <w:t xml:space="preserve"> </w:t>
      </w:r>
      <w:proofErr w:type="spellStart"/>
      <w:r w:rsidRPr="00E0235A">
        <w:rPr>
          <w:rFonts w:ascii="Arial" w:hAnsi="Arial" w:cs="Arial"/>
          <w:lang w:val="de-DE"/>
        </w:rPr>
        <w:t>later</w:t>
      </w:r>
      <w:proofErr w:type="spellEnd"/>
      <w:r w:rsidRPr="00E0235A">
        <w:rPr>
          <w:rFonts w:ascii="Arial" w:hAnsi="Arial" w:cs="Arial"/>
          <w:lang w:val="de-DE"/>
        </w:rPr>
        <w:br/>
      </w:r>
      <w:r w:rsidR="007A1E97" w:rsidRPr="00E0235A">
        <w:rPr>
          <w:rFonts w:ascii="Arial" w:hAnsi="Arial" w:cs="Arial"/>
          <w:i/>
          <w:lang w:val="de-DE"/>
        </w:rPr>
        <w:t>https://buffalonews.com/2015/05/30/strangers-linked-by-iconic-desert-storm-photo-finally-meet-24-years-later/</w:t>
      </w:r>
      <w:r w:rsidR="007A1E97" w:rsidRPr="00E0235A">
        <w:rPr>
          <w:lang w:val="de-DE"/>
        </w:rPr>
        <w:t xml:space="preserve"> </w:t>
      </w:r>
      <w:r w:rsidR="007A1E97" w:rsidRPr="00E0235A">
        <w:rPr>
          <w:rFonts w:ascii="Arial" w:hAnsi="Arial" w:cs="Arial"/>
          <w:lang w:val="de-DE"/>
        </w:rPr>
        <w:t>(</w:t>
      </w:r>
      <w:r w:rsidRPr="00E0235A">
        <w:rPr>
          <w:rFonts w:ascii="Arial" w:hAnsi="Arial" w:cs="Arial"/>
          <w:lang w:val="de-DE"/>
        </w:rPr>
        <w:t>Stand: 31.05.2015)</w:t>
      </w:r>
      <w:r w:rsidRPr="00E0235A">
        <w:rPr>
          <w:rFonts w:ascii="Arial" w:hAnsi="Arial" w:cs="Arial"/>
          <w:lang w:val="de-DE"/>
        </w:rPr>
        <w:br/>
      </w:r>
      <w:r w:rsidR="007A1E97" w:rsidRPr="00E0235A">
        <w:rPr>
          <w:rFonts w:ascii="Arial" w:hAnsi="Arial" w:cs="Arial"/>
          <w:lang w:val="de-DE"/>
        </w:rPr>
        <w:br/>
      </w:r>
      <w:r w:rsidRPr="00E0235A">
        <w:rPr>
          <w:rFonts w:ascii="Arial" w:hAnsi="Arial" w:cs="Arial"/>
          <w:lang w:val="de-DE"/>
        </w:rPr>
        <w:t xml:space="preserve">Neurologen und Psychiater im Netz. </w:t>
      </w:r>
      <w:r w:rsidRPr="001C60EB">
        <w:rPr>
          <w:rFonts w:ascii="Arial" w:hAnsi="Arial" w:cs="Arial"/>
          <w:b/>
          <w:color w:val="FF0000"/>
        </w:rPr>
        <w:t>Jahr fehlt</w:t>
      </w:r>
      <w:r w:rsidRPr="00EE78E1">
        <w:rPr>
          <w:rFonts w:ascii="Arial" w:hAnsi="Arial" w:cs="Arial"/>
          <w:color w:val="FF0000"/>
        </w:rPr>
        <w:t xml:space="preserve">  </w:t>
      </w:r>
      <w:r w:rsidR="00CA2F53">
        <w:rPr>
          <w:rFonts w:ascii="Arial" w:hAnsi="Arial" w:cs="Arial"/>
          <w:color w:val="FF0000"/>
        </w:rPr>
        <w:t>.</w:t>
      </w:r>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1C60EB">
        <w:rPr>
          <w:rFonts w:ascii="Arial" w:hAnsi="Arial" w:cs="Arial"/>
          <w:b/>
          <w:i/>
          <w:color w:val="FF0000"/>
        </w:rPr>
        <w:t>(Stand fehlt)</w:t>
      </w:r>
      <w:r w:rsidR="00E2359A">
        <w:rPr>
          <w:rFonts w:ascii="Arial" w:hAnsi="Arial" w:cs="Arial"/>
          <w:b/>
          <w:i/>
          <w:color w:val="FF0000"/>
        </w:rPr>
        <w:t xml:space="preserve"> </w:t>
      </w:r>
      <w:r w:rsidR="00E2359A">
        <w:rPr>
          <w:rFonts w:ascii="Arial" w:hAnsi="Arial" w:cs="Arial"/>
          <w:b/>
          <w:i/>
          <w:color w:val="FF0000"/>
        </w:rPr>
        <w:br/>
      </w:r>
      <w:r w:rsidR="00E2359A">
        <w:rPr>
          <w:rFonts w:ascii="Arial" w:hAnsi="Arial" w:cs="Arial"/>
          <w:b/>
          <w:i/>
          <w:color w:val="FF0000"/>
        </w:rPr>
        <w:br/>
        <w:t>Diese Seite hatte folgende Unterquellen:</w:t>
      </w:r>
      <w:r w:rsidR="007A1E97" w:rsidRPr="001C60EB">
        <w:rPr>
          <w:rFonts w:ascii="Arial" w:hAnsi="Arial" w:cs="Arial"/>
          <w:i/>
          <w:color w:val="FF0000"/>
        </w:rPr>
        <w:t xml:space="preserve"> </w:t>
      </w:r>
    </w:p>
    <w:p w:rsidR="00932432" w:rsidRPr="00E2359A" w:rsidRDefault="00932432" w:rsidP="00E2359A">
      <w:pPr>
        <w:pStyle w:val="Listenabsatz"/>
        <w:numPr>
          <w:ilvl w:val="0"/>
          <w:numId w:val="4"/>
        </w:numPr>
        <w:spacing w:line="360" w:lineRule="auto"/>
        <w:rPr>
          <w:rFonts w:ascii="Arial" w:hAnsi="Arial" w:cs="Arial"/>
          <w:b/>
          <w:color w:val="FF0000"/>
          <w:lang w:val="de-DE"/>
        </w:rPr>
      </w:pPr>
      <w:r w:rsidRPr="00E2359A">
        <w:rPr>
          <w:rFonts w:ascii="Arial" w:hAnsi="Arial" w:cs="Arial"/>
          <w:lang w:val="de-DE"/>
        </w:rPr>
        <w:t xml:space="preserve">Berger, Mathias.2012. </w:t>
      </w:r>
      <w:r w:rsidRPr="00E2359A">
        <w:rPr>
          <w:rFonts w:ascii="Arial" w:hAnsi="Arial" w:cs="Arial"/>
          <w:lang w:val="de-DE"/>
        </w:rPr>
        <w:t>Psychische Erkrankungen – Klinik und Therapie</w:t>
      </w:r>
      <w:r w:rsidR="00184822" w:rsidRPr="00E2359A">
        <w:rPr>
          <w:rFonts w:ascii="Arial" w:hAnsi="Arial" w:cs="Arial"/>
          <w:lang w:val="de-DE"/>
        </w:rPr>
        <w:t xml:space="preserve">. Verlag </w:t>
      </w:r>
      <w:r w:rsidR="00184822" w:rsidRPr="00E2359A">
        <w:rPr>
          <w:rFonts w:ascii="Arial" w:hAnsi="Arial" w:cs="Arial"/>
          <w:lang w:val="de-DE"/>
        </w:rPr>
        <w:t>Urban &amp; Fischer</w:t>
      </w:r>
      <w:r w:rsidR="00184822" w:rsidRPr="00E2359A">
        <w:rPr>
          <w:rFonts w:ascii="Arial" w:hAnsi="Arial" w:cs="Arial"/>
          <w:lang w:val="de-DE"/>
        </w:rPr>
        <w:t xml:space="preserve"> </w:t>
      </w:r>
      <w:r w:rsidR="00D753CC" w:rsidRPr="00E2359A">
        <w:rPr>
          <w:rFonts w:ascii="Arial" w:hAnsi="Arial" w:cs="Arial"/>
          <w:b/>
          <w:color w:val="FF0000"/>
          <w:lang w:val="de-DE"/>
        </w:rPr>
        <w:t>ERSCHEINUNGSORT</w:t>
      </w:r>
    </w:p>
    <w:p w:rsidR="00E2359A" w:rsidRDefault="00E2359A" w:rsidP="00E2359A">
      <w:pPr>
        <w:pStyle w:val="Listenabsatz"/>
        <w:numPr>
          <w:ilvl w:val="0"/>
          <w:numId w:val="4"/>
        </w:numPr>
        <w:spacing w:line="360" w:lineRule="auto"/>
        <w:rPr>
          <w:rFonts w:ascii="Arial" w:hAnsi="Arial" w:cs="Arial"/>
          <w:lang w:val="de-DE"/>
        </w:rPr>
      </w:pPr>
      <w:r>
        <w:rPr>
          <w:rFonts w:ascii="Arial" w:hAnsi="Arial" w:cs="Arial"/>
          <w:lang w:val="de-DE"/>
        </w:rPr>
        <w:t xml:space="preserve">Friedman </w:t>
      </w:r>
      <w:r w:rsidR="001C60EB" w:rsidRPr="00E2359A">
        <w:rPr>
          <w:rFonts w:ascii="Arial" w:hAnsi="Arial" w:cs="Arial"/>
          <w:lang w:val="de-DE"/>
        </w:rPr>
        <w:t>Matthew</w:t>
      </w:r>
      <w:r>
        <w:rPr>
          <w:rFonts w:ascii="Arial" w:hAnsi="Arial" w:cs="Arial"/>
          <w:lang w:val="de-DE"/>
        </w:rPr>
        <w:t xml:space="preserve"> J.</w:t>
      </w:r>
      <w:r w:rsidR="001C60EB" w:rsidRPr="00E2359A">
        <w:rPr>
          <w:rFonts w:ascii="Arial" w:hAnsi="Arial" w:cs="Arial"/>
          <w:lang w:val="de-DE"/>
        </w:rPr>
        <w:t>; Keane Terence</w:t>
      </w:r>
      <w:r>
        <w:rPr>
          <w:rFonts w:ascii="Arial" w:hAnsi="Arial" w:cs="Arial"/>
          <w:lang w:val="de-DE"/>
        </w:rPr>
        <w:t xml:space="preserve"> M.</w:t>
      </w:r>
      <w:r w:rsidR="001C60EB" w:rsidRPr="00E2359A">
        <w:rPr>
          <w:rFonts w:ascii="Arial" w:hAnsi="Arial" w:cs="Arial"/>
          <w:lang w:val="de-DE"/>
        </w:rPr>
        <w:t xml:space="preserve">; </w:t>
      </w:r>
      <w:proofErr w:type="spellStart"/>
      <w:r w:rsidR="001C60EB" w:rsidRPr="00E2359A">
        <w:rPr>
          <w:rFonts w:ascii="Arial" w:hAnsi="Arial" w:cs="Arial"/>
          <w:lang w:val="de-DE"/>
        </w:rPr>
        <w:t>Resick</w:t>
      </w:r>
      <w:proofErr w:type="spellEnd"/>
      <w:r w:rsidR="001C60EB" w:rsidRPr="00E2359A">
        <w:rPr>
          <w:rFonts w:ascii="Arial" w:hAnsi="Arial" w:cs="Arial"/>
          <w:lang w:val="de-DE"/>
        </w:rPr>
        <w:t xml:space="preserve"> Patricia</w:t>
      </w:r>
      <w:r>
        <w:rPr>
          <w:rFonts w:ascii="Arial" w:hAnsi="Arial" w:cs="Arial"/>
          <w:lang w:val="de-DE"/>
        </w:rPr>
        <w:t xml:space="preserve"> A.</w:t>
      </w:r>
      <w:r w:rsidR="001C60EB" w:rsidRPr="00E2359A">
        <w:rPr>
          <w:rFonts w:ascii="Arial" w:hAnsi="Arial" w:cs="Arial"/>
          <w:lang w:val="de-DE"/>
        </w:rPr>
        <w:t>.</w:t>
      </w:r>
      <w:r w:rsidR="00370256" w:rsidRPr="00E2359A">
        <w:rPr>
          <w:rFonts w:ascii="Arial" w:hAnsi="Arial" w:cs="Arial"/>
          <w:lang w:val="de-DE"/>
        </w:rPr>
        <w:t>2007.</w:t>
      </w:r>
      <w:r>
        <w:rPr>
          <w:rFonts w:ascii="Arial" w:hAnsi="Arial" w:cs="Arial"/>
          <w:lang w:val="de-DE"/>
        </w:rPr>
        <w:t xml:space="preserve"> </w:t>
      </w:r>
      <w:r w:rsidR="001C60EB" w:rsidRPr="00E2359A">
        <w:rPr>
          <w:rFonts w:ascii="Arial" w:hAnsi="Arial" w:cs="Arial"/>
          <w:lang w:val="de-DE"/>
        </w:rPr>
        <w:t xml:space="preserve">Handbook </w:t>
      </w:r>
      <w:proofErr w:type="spellStart"/>
      <w:r w:rsidR="001C60EB" w:rsidRPr="00E2359A">
        <w:rPr>
          <w:rFonts w:ascii="Arial" w:hAnsi="Arial" w:cs="Arial"/>
          <w:lang w:val="de-DE"/>
        </w:rPr>
        <w:t>of</w:t>
      </w:r>
      <w:proofErr w:type="spellEnd"/>
      <w:r w:rsidR="001C60EB" w:rsidRPr="00E2359A">
        <w:rPr>
          <w:rFonts w:ascii="Arial" w:hAnsi="Arial" w:cs="Arial"/>
          <w:lang w:val="de-DE"/>
        </w:rPr>
        <w:t xml:space="preserve"> PTSD. Science </w:t>
      </w:r>
      <w:proofErr w:type="spellStart"/>
      <w:r w:rsidR="001C60EB" w:rsidRPr="00E2359A">
        <w:rPr>
          <w:rFonts w:ascii="Arial" w:hAnsi="Arial" w:cs="Arial"/>
          <w:lang w:val="de-DE"/>
        </w:rPr>
        <w:t>and</w:t>
      </w:r>
      <w:proofErr w:type="spellEnd"/>
      <w:r w:rsidR="001C60EB" w:rsidRPr="00E2359A">
        <w:rPr>
          <w:rFonts w:ascii="Arial" w:hAnsi="Arial" w:cs="Arial"/>
          <w:lang w:val="de-DE"/>
        </w:rPr>
        <w:t xml:space="preserve"> </w:t>
      </w:r>
      <w:proofErr w:type="spellStart"/>
      <w:r w:rsidR="001C60EB" w:rsidRPr="00E2359A">
        <w:rPr>
          <w:rFonts w:ascii="Arial" w:hAnsi="Arial" w:cs="Arial"/>
          <w:lang w:val="de-DE"/>
        </w:rPr>
        <w:t>practic</w:t>
      </w:r>
      <w:r w:rsidRPr="00E2359A">
        <w:rPr>
          <w:rFonts w:ascii="Arial" w:hAnsi="Arial" w:cs="Arial"/>
          <w:lang w:val="de-DE"/>
        </w:rPr>
        <w:t>e</w:t>
      </w:r>
      <w:proofErr w:type="spellEnd"/>
      <w:r w:rsidR="001C60EB" w:rsidRPr="00E2359A">
        <w:rPr>
          <w:rFonts w:ascii="Arial" w:hAnsi="Arial" w:cs="Arial"/>
          <w:lang w:val="de-DE"/>
        </w:rPr>
        <w:t>, Guilford</w:t>
      </w:r>
      <w:r>
        <w:rPr>
          <w:rFonts w:ascii="Arial" w:hAnsi="Arial" w:cs="Arial"/>
          <w:lang w:val="de-DE"/>
        </w:rPr>
        <w:t xml:space="preserve"> Verlag</w:t>
      </w:r>
      <w:r w:rsidR="001C60EB" w:rsidRPr="00E2359A">
        <w:rPr>
          <w:rFonts w:ascii="Arial" w:hAnsi="Arial" w:cs="Arial"/>
          <w:lang w:val="de-DE"/>
        </w:rPr>
        <w:t>,</w:t>
      </w:r>
      <w:r w:rsidRPr="00E2359A">
        <w:rPr>
          <w:rFonts w:ascii="Arial" w:hAnsi="Arial" w:cs="Arial"/>
          <w:lang w:val="de-DE"/>
        </w:rPr>
        <w:t xml:space="preserve"> </w:t>
      </w:r>
      <w:r w:rsidRPr="00E2359A">
        <w:rPr>
          <w:rFonts w:ascii="Arial" w:hAnsi="Arial" w:cs="Arial"/>
          <w:lang w:val="de-DE"/>
        </w:rPr>
        <w:t>New York</w:t>
      </w:r>
      <w:r w:rsidR="001C60EB" w:rsidRPr="00E2359A">
        <w:rPr>
          <w:rFonts w:ascii="Arial" w:hAnsi="Arial" w:cs="Arial"/>
          <w:lang w:val="de-DE"/>
        </w:rPr>
        <w:t xml:space="preserve"> </w:t>
      </w:r>
    </w:p>
    <w:p w:rsidR="00E2359A" w:rsidRPr="00E2359A" w:rsidRDefault="00E2359A" w:rsidP="00E2359A">
      <w:pPr>
        <w:numPr>
          <w:ilvl w:val="0"/>
          <w:numId w:val="4"/>
        </w:numPr>
        <w:spacing w:after="120" w:line="270" w:lineRule="atLeast"/>
        <w:rPr>
          <w:rFonts w:ascii="Arial" w:hAnsi="Arial" w:cs="Arial"/>
          <w:lang w:val="de-DE"/>
        </w:rPr>
      </w:pPr>
      <w:r w:rsidRPr="00E2359A">
        <w:rPr>
          <w:rFonts w:ascii="Arial" w:hAnsi="Arial" w:cs="Arial"/>
          <w:lang w:val="de-DE"/>
        </w:rPr>
        <w:t>Foa B. Edna, Keane Terence</w:t>
      </w:r>
      <w:r>
        <w:rPr>
          <w:rFonts w:ascii="Arial" w:hAnsi="Arial" w:cs="Arial"/>
          <w:lang w:val="de-DE"/>
        </w:rPr>
        <w:t xml:space="preserve"> M.</w:t>
      </w:r>
      <w:r w:rsidRPr="00E2359A">
        <w:rPr>
          <w:rFonts w:ascii="Arial" w:hAnsi="Arial" w:cs="Arial"/>
          <w:lang w:val="de-DE"/>
        </w:rPr>
        <w:t xml:space="preserve">, Friedman Matthew J., Cohen Judith </w:t>
      </w:r>
      <w:r>
        <w:rPr>
          <w:rFonts w:ascii="Arial" w:hAnsi="Arial" w:cs="Arial"/>
          <w:lang w:val="de-DE"/>
        </w:rPr>
        <w:t xml:space="preserve">A. </w:t>
      </w:r>
      <w:r w:rsidRPr="00E2359A">
        <w:rPr>
          <w:rFonts w:ascii="Arial" w:hAnsi="Arial" w:cs="Arial"/>
          <w:lang w:val="de-DE"/>
        </w:rPr>
        <w:t>2009</w:t>
      </w:r>
      <w:r>
        <w:rPr>
          <w:rFonts w:ascii="Arial" w:hAnsi="Arial" w:cs="Arial"/>
          <w:lang w:val="de-DE"/>
        </w:rPr>
        <w:br/>
      </w:r>
      <w:r w:rsidRPr="00E2359A">
        <w:rPr>
          <w:rFonts w:ascii="Arial" w:hAnsi="Arial" w:cs="Arial"/>
          <w:lang w:val="de-DE"/>
        </w:rPr>
        <w:t xml:space="preserve">Effective treatments for PTSD. Practice guidelines </w:t>
      </w:r>
      <w:proofErr w:type="spellStart"/>
      <w:r w:rsidRPr="00E2359A">
        <w:rPr>
          <w:rFonts w:ascii="Arial" w:hAnsi="Arial" w:cs="Arial"/>
          <w:lang w:val="de-DE"/>
        </w:rPr>
        <w:t>from</w:t>
      </w:r>
      <w:proofErr w:type="spellEnd"/>
      <w:r w:rsidRPr="00E2359A">
        <w:rPr>
          <w:rFonts w:ascii="Arial" w:hAnsi="Arial" w:cs="Arial"/>
          <w:lang w:val="de-DE"/>
        </w:rPr>
        <w:t xml:space="preserve"> </w:t>
      </w:r>
      <w:proofErr w:type="spellStart"/>
      <w:r w:rsidRPr="00E2359A">
        <w:rPr>
          <w:rFonts w:ascii="Arial" w:hAnsi="Arial" w:cs="Arial"/>
          <w:lang w:val="de-DE"/>
        </w:rPr>
        <w:t>the</w:t>
      </w:r>
      <w:proofErr w:type="spellEnd"/>
      <w:r w:rsidRPr="00E2359A">
        <w:rPr>
          <w:rFonts w:ascii="Arial" w:hAnsi="Arial" w:cs="Arial"/>
          <w:lang w:val="de-DE"/>
        </w:rPr>
        <w:t xml:space="preserve"> international society for traumatic stress studies, </w:t>
      </w:r>
      <w:proofErr w:type="spellStart"/>
      <w:r w:rsidRPr="00E2359A">
        <w:rPr>
          <w:rFonts w:ascii="Arial" w:hAnsi="Arial" w:cs="Arial"/>
          <w:lang w:val="de-DE"/>
        </w:rPr>
        <w:t>ed</w:t>
      </w:r>
      <w:proofErr w:type="spellEnd"/>
      <w:r w:rsidRPr="00E2359A">
        <w:rPr>
          <w:rFonts w:ascii="Arial" w:hAnsi="Arial" w:cs="Arial"/>
          <w:lang w:val="de-DE"/>
        </w:rPr>
        <w:t xml:space="preserve"> 2.,</w:t>
      </w:r>
      <w:r>
        <w:rPr>
          <w:rFonts w:ascii="Arial" w:hAnsi="Arial" w:cs="Arial"/>
          <w:lang w:val="de-DE"/>
        </w:rPr>
        <w:t xml:space="preserve"> </w:t>
      </w:r>
      <w:r w:rsidRPr="00E2359A">
        <w:rPr>
          <w:rFonts w:ascii="Arial" w:hAnsi="Arial" w:cs="Arial"/>
          <w:lang w:val="de-DE"/>
        </w:rPr>
        <w:t xml:space="preserve">Guilford Verlag, </w:t>
      </w:r>
      <w:r w:rsidRPr="00E2359A">
        <w:rPr>
          <w:rFonts w:ascii="Arial" w:hAnsi="Arial" w:cs="Arial"/>
          <w:lang w:val="de-DE"/>
        </w:rPr>
        <w:t>New York</w:t>
      </w:r>
      <w:r w:rsidRPr="00E2359A">
        <w:rPr>
          <w:rFonts w:ascii="Arial" w:hAnsi="Arial" w:cs="Arial"/>
          <w:lang w:val="de-DE"/>
        </w:rPr>
        <w:t>.</w:t>
      </w:r>
    </w:p>
    <w:p w:rsidR="00E2359A" w:rsidRPr="00E2359A" w:rsidRDefault="00E2359A" w:rsidP="00E2359A">
      <w:pPr>
        <w:numPr>
          <w:ilvl w:val="0"/>
          <w:numId w:val="4"/>
        </w:numPr>
        <w:shd w:val="clear" w:color="auto" w:fill="FFFFFF"/>
        <w:spacing w:after="120" w:line="270" w:lineRule="atLeast"/>
        <w:rPr>
          <w:rFonts w:ascii="Arial" w:eastAsia="Times New Roman" w:hAnsi="Arial" w:cs="Arial"/>
          <w:color w:val="555555"/>
          <w:sz w:val="20"/>
          <w:szCs w:val="20"/>
          <w:lang w:eastAsia="de-CH"/>
        </w:rPr>
      </w:pPr>
      <w:r w:rsidRPr="00E2359A">
        <w:rPr>
          <w:rFonts w:ascii="Arial" w:eastAsia="Times New Roman" w:hAnsi="Arial" w:cs="Arial"/>
          <w:color w:val="555555"/>
          <w:sz w:val="20"/>
          <w:szCs w:val="20"/>
          <w:lang w:eastAsia="de-CH"/>
        </w:rPr>
        <w:t>S2-Leitlinie: Diagnostik und Behandlung von akuten Folgen psychischer Traumatisierung, Nr. 051/027</w:t>
      </w:r>
    </w:p>
    <w:p w:rsidR="00E2359A" w:rsidRDefault="00E2359A" w:rsidP="00E2359A">
      <w:pPr>
        <w:pStyle w:val="Listenabsatz"/>
        <w:numPr>
          <w:ilvl w:val="0"/>
          <w:numId w:val="4"/>
        </w:numPr>
        <w:spacing w:line="360" w:lineRule="auto"/>
        <w:rPr>
          <w:rFonts w:ascii="Arial" w:hAnsi="Arial" w:cs="Arial"/>
          <w:lang w:val="de-DE"/>
        </w:rPr>
      </w:pPr>
      <w:r>
        <w:rPr>
          <w:rFonts w:ascii="Arial" w:hAnsi="Arial" w:cs="Arial"/>
          <w:color w:val="555555"/>
          <w:sz w:val="20"/>
          <w:szCs w:val="20"/>
          <w:shd w:val="clear" w:color="auto" w:fill="FFFFFF"/>
        </w:rPr>
        <w:t>S3-Leitlinie: Posttraumatische Belastungsstörung </w:t>
      </w:r>
      <w:hyperlink r:id="rId13" w:tooltip="ICD - Erklärung im Glossar" w:history="1">
        <w:r>
          <w:rPr>
            <w:rStyle w:val="Hyperlink"/>
            <w:rFonts w:ascii="Arial" w:hAnsi="Arial" w:cs="Arial"/>
            <w:color w:val="777777"/>
            <w:sz w:val="20"/>
            <w:szCs w:val="20"/>
            <w:shd w:val="clear" w:color="auto" w:fill="FFFFFF"/>
          </w:rPr>
          <w:t>ICD</w:t>
        </w:r>
      </w:hyperlink>
      <w:r>
        <w:rPr>
          <w:rFonts w:ascii="Arial" w:hAnsi="Arial" w:cs="Arial"/>
          <w:color w:val="555555"/>
          <w:sz w:val="20"/>
          <w:szCs w:val="20"/>
          <w:shd w:val="clear" w:color="auto" w:fill="FFFFFF"/>
        </w:rPr>
        <w:t>10: F43.1, Nr. 051/010,</w:t>
      </w:r>
    </w:p>
    <w:p w:rsidR="00E2359A" w:rsidRDefault="00E2359A">
      <w:pPr>
        <w:rPr>
          <w:rFonts w:ascii="Arial" w:hAnsi="Arial" w:cs="Arial"/>
          <w:lang w:val="de-DE"/>
        </w:rPr>
      </w:pPr>
      <w:r>
        <w:rPr>
          <w:rFonts w:ascii="Arial" w:hAnsi="Arial" w:cs="Arial"/>
          <w:lang w:val="de-DE"/>
        </w:rPr>
        <w:br w:type="page"/>
      </w:r>
    </w:p>
    <w:p w:rsidR="001C60EB" w:rsidRPr="00E2359A" w:rsidRDefault="001C60EB" w:rsidP="00E2359A">
      <w:pPr>
        <w:pStyle w:val="Listenabsatz"/>
        <w:numPr>
          <w:ilvl w:val="0"/>
          <w:numId w:val="4"/>
        </w:numPr>
        <w:spacing w:line="360" w:lineRule="auto"/>
        <w:rPr>
          <w:rFonts w:ascii="Arial" w:hAnsi="Arial" w:cs="Arial"/>
          <w:lang w:val="de-DE"/>
        </w:rPr>
      </w:pPr>
    </w:p>
    <w:p w:rsidR="0097519C" w:rsidRPr="008B7121" w:rsidRDefault="0097519C" w:rsidP="008B7121">
      <w:pPr>
        <w:spacing w:line="360" w:lineRule="auto"/>
        <w:rPr>
          <w:rFonts w:ascii="Arial" w:hAnsi="Arial" w:cs="Arial"/>
          <w:i/>
          <w:color w:val="FF0000"/>
        </w:rPr>
      </w:pPr>
      <w:r w:rsidRPr="00E45BE5">
        <w:rPr>
          <w:rFonts w:ascii="Arial" w:hAnsi="Arial" w:cs="Arial"/>
        </w:rPr>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Pr="0097519C"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D3" w:rsidRDefault="00DD69D3" w:rsidP="00611DCB">
      <w:pPr>
        <w:spacing w:after="0" w:line="240" w:lineRule="auto"/>
      </w:pPr>
      <w:r>
        <w:separator/>
      </w:r>
    </w:p>
  </w:endnote>
  <w:endnote w:type="continuationSeparator" w:id="0">
    <w:p w:rsidR="00DD69D3" w:rsidRDefault="00DD69D3"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D3" w:rsidRDefault="00DD69D3" w:rsidP="00611DCB">
      <w:pPr>
        <w:spacing w:after="0" w:line="240" w:lineRule="auto"/>
      </w:pPr>
      <w:r>
        <w:separator/>
      </w:r>
    </w:p>
  </w:footnote>
  <w:footnote w:type="continuationSeparator" w:id="0">
    <w:p w:rsidR="00DD69D3" w:rsidRDefault="00DD69D3"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F34A08">
        <w:rPr>
          <w:rFonts w:ascii="Arial" w:hAnsi="Arial" w:cs="Arial"/>
          <w:sz w:val="18"/>
        </w:rPr>
        <w:t xml:space="preserve"> </w:t>
      </w:r>
      <w:r w:rsidRPr="00F34A08">
        <w:rPr>
          <w:rFonts w:ascii="Arial" w:hAnsi="Arial" w:cs="Arial"/>
          <w:sz w:val="18"/>
          <w:lang w:val="de-CH"/>
        </w:rPr>
        <w:t>Bento.de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EC"/>
    <w:rsid w:val="000277D5"/>
    <w:rsid w:val="00030C79"/>
    <w:rsid w:val="0005461F"/>
    <w:rsid w:val="00055A7A"/>
    <w:rsid w:val="000D0069"/>
    <w:rsid w:val="00110991"/>
    <w:rsid w:val="00184822"/>
    <w:rsid w:val="00192904"/>
    <w:rsid w:val="001B3E91"/>
    <w:rsid w:val="001C2588"/>
    <w:rsid w:val="001C321C"/>
    <w:rsid w:val="001C60EB"/>
    <w:rsid w:val="00224F72"/>
    <w:rsid w:val="00231659"/>
    <w:rsid w:val="00275F39"/>
    <w:rsid w:val="00290998"/>
    <w:rsid w:val="003213F1"/>
    <w:rsid w:val="00370256"/>
    <w:rsid w:val="00473B9C"/>
    <w:rsid w:val="00484547"/>
    <w:rsid w:val="004D5993"/>
    <w:rsid w:val="004F15E1"/>
    <w:rsid w:val="00542066"/>
    <w:rsid w:val="00573417"/>
    <w:rsid w:val="00580713"/>
    <w:rsid w:val="005F0B7E"/>
    <w:rsid w:val="00611DCB"/>
    <w:rsid w:val="006C0588"/>
    <w:rsid w:val="006D05B6"/>
    <w:rsid w:val="00713CB0"/>
    <w:rsid w:val="00767E5D"/>
    <w:rsid w:val="00777C63"/>
    <w:rsid w:val="007A1E97"/>
    <w:rsid w:val="007E1C79"/>
    <w:rsid w:val="007F21EB"/>
    <w:rsid w:val="00802255"/>
    <w:rsid w:val="00827981"/>
    <w:rsid w:val="008B7121"/>
    <w:rsid w:val="008E5FFF"/>
    <w:rsid w:val="0092087F"/>
    <w:rsid w:val="009279FC"/>
    <w:rsid w:val="00932432"/>
    <w:rsid w:val="0097519C"/>
    <w:rsid w:val="009F4A29"/>
    <w:rsid w:val="00A0408C"/>
    <w:rsid w:val="00A05D5F"/>
    <w:rsid w:val="00A12E5A"/>
    <w:rsid w:val="00A16111"/>
    <w:rsid w:val="00A31B32"/>
    <w:rsid w:val="00A33C06"/>
    <w:rsid w:val="00A60CF2"/>
    <w:rsid w:val="00A742C0"/>
    <w:rsid w:val="00AD0767"/>
    <w:rsid w:val="00B20AF6"/>
    <w:rsid w:val="00C479A9"/>
    <w:rsid w:val="00C764CA"/>
    <w:rsid w:val="00C857F2"/>
    <w:rsid w:val="00CA2F53"/>
    <w:rsid w:val="00CA7845"/>
    <w:rsid w:val="00CC2383"/>
    <w:rsid w:val="00CD462F"/>
    <w:rsid w:val="00D034DD"/>
    <w:rsid w:val="00D516AD"/>
    <w:rsid w:val="00D61824"/>
    <w:rsid w:val="00D753CC"/>
    <w:rsid w:val="00D84FEC"/>
    <w:rsid w:val="00DD69D3"/>
    <w:rsid w:val="00E01E1F"/>
    <w:rsid w:val="00E0235A"/>
    <w:rsid w:val="00E2359A"/>
    <w:rsid w:val="00E3190E"/>
    <w:rsid w:val="00E45BE5"/>
    <w:rsid w:val="00E94E81"/>
    <w:rsid w:val="00EB2C36"/>
    <w:rsid w:val="00EE78E1"/>
    <w:rsid w:val="00F34A08"/>
    <w:rsid w:val="00F7066A"/>
    <w:rsid w:val="00F75420"/>
    <w:rsid w:val="00F9598F"/>
    <w:rsid w:val="00F97DAF"/>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60E9"/>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eurologen-und-psychiater-im-netz.org/glossar/?tx_mksglossary_pi1%5BshowUid%5D=18&amp;cHash=b7a5216ce410eed663d0c7cc645e52e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zz.ch/gesellschaft/die-gebrochenen-helden-ld.132662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F19F7-AEDA-48CE-A7EE-B14B284A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1769</Words>
  <Characters>11147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marc.binggeli</cp:lastModifiedBy>
  <cp:revision>6</cp:revision>
  <dcterms:created xsi:type="dcterms:W3CDTF">2018-11-20T21:01:00Z</dcterms:created>
  <dcterms:modified xsi:type="dcterms:W3CDTF">2018-11-21T13:46:00Z</dcterms:modified>
</cp:coreProperties>
</file>