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B38" w:rsidRPr="000E0B38" w:rsidRDefault="004216E8" w:rsidP="000E0B38">
      <w:pPr>
        <w:pStyle w:val="berschrift1"/>
        <w:rPr>
          <w:lang w:val="de-DE"/>
        </w:rPr>
      </w:pPr>
      <w:r>
        <w:rPr>
          <w:lang w:val="de-DE"/>
        </w:rPr>
        <w:t>Folgen für Amerika</w:t>
      </w: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Soldaten</w:t>
      </w:r>
    </w:p>
    <w:p w:rsidR="00E72C63" w:rsidRPr="00E72C63" w:rsidRDefault="004216E8" w:rsidP="00E72C63">
      <w:pPr>
        <w:pStyle w:val="Listenabsatz"/>
        <w:numPr>
          <w:ilvl w:val="0"/>
          <w:numId w:val="1"/>
        </w:numPr>
        <w:rPr>
          <w:lang w:val="de-DE"/>
        </w:rPr>
      </w:pPr>
      <w:r w:rsidRPr="004216E8">
        <w:rPr>
          <w:lang w:val="de-DE"/>
        </w:rPr>
        <w:t>Traumatisierte Soldaten</w:t>
      </w:r>
      <w:bookmarkStart w:id="0" w:name="_GoBack"/>
      <w:bookmarkEnd w:id="0"/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Körperliche Schäden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Posttraumatische Belastungsstörungen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Hero</w:t>
      </w:r>
      <w:r w:rsidR="00E72C63">
        <w:rPr>
          <w:lang w:val="de-DE"/>
        </w:rPr>
        <w:t>i</w:t>
      </w:r>
      <w:r>
        <w:rPr>
          <w:lang w:val="de-DE"/>
        </w:rPr>
        <w:t>nsucht (40‘000 US Soldaten während dem Krieg)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Wiedereingliederung in Gesellschaft sehr schwer</w:t>
      </w:r>
    </w:p>
    <w:p w:rsid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Viele Soldaten werden kriminell.</w:t>
      </w:r>
    </w:p>
    <w:p w:rsidR="004216E8" w:rsidRPr="004216E8" w:rsidRDefault="004216E8" w:rsidP="004216E8">
      <w:pPr>
        <w:pStyle w:val="Listenabsatz"/>
        <w:numPr>
          <w:ilvl w:val="0"/>
          <w:numId w:val="1"/>
        </w:numPr>
        <w:rPr>
          <w:lang w:val="de-DE"/>
        </w:rPr>
      </w:pPr>
    </w:p>
    <w:p w:rsidR="004216E8" w:rsidRPr="004216E8" w:rsidRDefault="004216E8" w:rsidP="004216E8">
      <w:pPr>
        <w:rPr>
          <w:lang w:val="de-DE"/>
        </w:rPr>
      </w:pP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Wirtschaft</w:t>
      </w:r>
    </w:p>
    <w:p w:rsidR="004216E8" w:rsidRDefault="000E0B38" w:rsidP="000E0B38">
      <w:pPr>
        <w:rPr>
          <w:lang w:val="de-DE"/>
        </w:rPr>
      </w:pPr>
      <w:r>
        <w:rPr>
          <w:lang w:val="de-DE"/>
        </w:rPr>
        <w:t xml:space="preserve">Wirtschaftlich hat sich der Krieg für die USA sehr negativ ausgewirkt. </w:t>
      </w:r>
      <w:r w:rsidR="008D11F6">
        <w:rPr>
          <w:lang w:val="de-DE"/>
        </w:rPr>
        <w:t>Durch den Unmut</w:t>
      </w:r>
      <w:r>
        <w:rPr>
          <w:lang w:val="de-DE"/>
        </w:rPr>
        <w:t xml:space="preserve"> in der </w:t>
      </w:r>
      <w:r w:rsidR="008D11F6">
        <w:rPr>
          <w:lang w:val="de-DE"/>
        </w:rPr>
        <w:t>eigenen</w:t>
      </w:r>
      <w:r>
        <w:rPr>
          <w:lang w:val="de-DE"/>
        </w:rPr>
        <w:t xml:space="preserve"> Gesellschaft bezüglich der kritischen </w:t>
      </w:r>
      <w:r w:rsidR="008D11F6">
        <w:rPr>
          <w:lang w:val="de-DE"/>
        </w:rPr>
        <w:t>Äußerungen</w:t>
      </w:r>
      <w:r>
        <w:rPr>
          <w:lang w:val="de-DE"/>
        </w:rPr>
        <w:t xml:space="preserve"> des Krieges in der Vietnam wurde das Wirtschaftssystem beschädigt. </w:t>
      </w:r>
    </w:p>
    <w:p w:rsidR="000E0B38" w:rsidRDefault="008D11F6" w:rsidP="004216E8">
      <w:pPr>
        <w:rPr>
          <w:lang w:val="de-DE"/>
        </w:rPr>
      </w:pPr>
      <w:r>
        <w:rPr>
          <w:lang w:val="de-DE"/>
        </w:rPr>
        <w:t xml:space="preserve">Verschiedene Sammelklagen wurden gegen die Hersteller der Pestizide eingereicht. </w:t>
      </w:r>
      <w:proofErr w:type="spellStart"/>
      <w:r>
        <w:rPr>
          <w:lang w:val="de-DE"/>
        </w:rPr>
        <w:t>Anschliessend</w:t>
      </w:r>
      <w:proofErr w:type="spellEnd"/>
      <w:r>
        <w:rPr>
          <w:lang w:val="de-DE"/>
        </w:rPr>
        <w:t xml:space="preserve"> haben die Hersteller eine Entschädigung an die</w:t>
      </w:r>
      <w:r w:rsidRPr="008D11F6">
        <w:rPr>
          <w:lang w:val="de-DE"/>
        </w:rPr>
        <w:t xml:space="preserve"> 52.000 Veteranen und Hinterbliebene 197 Millionen Dollar ausgezahlt.</w:t>
      </w:r>
    </w:p>
    <w:p w:rsidR="001E5F91" w:rsidRPr="001E5F91" w:rsidRDefault="001E5F91" w:rsidP="001E5F91">
      <w:pPr>
        <w:rPr>
          <w:lang w:val="de-DE"/>
        </w:rPr>
      </w:pPr>
      <w:r w:rsidRPr="001E5F91">
        <w:rPr>
          <w:lang w:val="de-DE"/>
        </w:rPr>
        <w:t>Eine Gruppe vietnamesischer Opfer hat gegen die amerikanischen Hersteller Klage eingereicht, die jedoch im März 2005 abgewiesen wurde. Nach Ansicht des Richters war der Einsatz von Agent Orange keine </w:t>
      </w:r>
      <w:hyperlink r:id="rId5" w:tooltip="Chemische Waffe" w:history="1">
        <w:r w:rsidRPr="001E5F91">
          <w:rPr>
            <w:lang w:val="de-DE"/>
          </w:rPr>
          <w:t>chemische Kriegsführung</w:t>
        </w:r>
      </w:hyperlink>
      <w:r w:rsidRPr="001E5F91">
        <w:rPr>
          <w:lang w:val="de-DE"/>
        </w:rPr>
        <w:t xml:space="preserve"> und deshalb kein Verstoß gegen internationales Recht </w:t>
      </w:r>
    </w:p>
    <w:p w:rsidR="001E5F91" w:rsidRDefault="001E5F91" w:rsidP="004216E8">
      <w:pPr>
        <w:pStyle w:val="berschrift2"/>
        <w:rPr>
          <w:rFonts w:ascii="Arial" w:hAnsi="Arial" w:cs="Arial"/>
          <w:color w:val="222222"/>
          <w:shd w:val="clear" w:color="auto" w:fill="FFFFFF"/>
          <w:vertAlign w:val="superscript"/>
        </w:rPr>
      </w:pP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Politik</w:t>
      </w:r>
    </w:p>
    <w:p w:rsidR="004216E8" w:rsidRDefault="000E0B38" w:rsidP="000E0B3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Beziehung während des Krieges zu der Sowjetunion immer schlechter</w:t>
      </w:r>
    </w:p>
    <w:p w:rsidR="00E72C63" w:rsidRDefault="004678CD" w:rsidP="000E0B3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Politischer Unmut in der Gesellschaft führen zur Nichtwiederwahl von Präsidenten Johnson. Dieser stellt sich nach den Ska</w:t>
      </w:r>
      <w:r w:rsidR="00E72C63">
        <w:rPr>
          <w:lang w:val="de-DE"/>
        </w:rPr>
        <w:t>n</w:t>
      </w:r>
      <w:r>
        <w:rPr>
          <w:lang w:val="de-DE"/>
        </w:rPr>
        <w:t>dalen, welche vom Vietnamkrieg ausgehen, nicht mehr zur Wahl.</w:t>
      </w:r>
    </w:p>
    <w:p w:rsidR="000E0B38" w:rsidRPr="00E72C63" w:rsidRDefault="00E72C63" w:rsidP="00E72C63">
      <w:pPr>
        <w:rPr>
          <w:lang w:val="de-DE"/>
        </w:rPr>
      </w:pPr>
      <w:r>
        <w:rPr>
          <w:lang w:val="de-DE"/>
        </w:rPr>
        <w:br w:type="page"/>
      </w:r>
    </w:p>
    <w:p w:rsidR="004216E8" w:rsidRDefault="004216E8" w:rsidP="004216E8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Folgen für </w:t>
      </w:r>
      <w:r w:rsidR="004678CD">
        <w:rPr>
          <w:lang w:val="de-DE"/>
        </w:rPr>
        <w:t>Vietnam</w:t>
      </w: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Bevölkerung</w:t>
      </w:r>
    </w:p>
    <w:p w:rsidR="000E0B38" w:rsidRDefault="000E0B38" w:rsidP="000E0B38">
      <w:pPr>
        <w:pStyle w:val="Listenabsatz"/>
        <w:numPr>
          <w:ilvl w:val="0"/>
          <w:numId w:val="5"/>
        </w:numPr>
        <w:rPr>
          <w:lang w:val="de-DE"/>
        </w:rPr>
      </w:pPr>
      <w:r w:rsidRPr="000E0B38">
        <w:rPr>
          <w:lang w:val="de-DE"/>
        </w:rPr>
        <w:t>Zerstörung, Ressourcenknappheit</w:t>
      </w:r>
      <w:r>
        <w:rPr>
          <w:lang w:val="de-DE"/>
        </w:rPr>
        <w:t>, Armut</w:t>
      </w:r>
    </w:p>
    <w:p w:rsidR="000E0B38" w:rsidRDefault="000E0B38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Spätfolgen bezüglich der Chemieangriffe der USA</w:t>
      </w:r>
    </w:p>
    <w:p w:rsidR="000E0B38" w:rsidRDefault="000E0B38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Fehlbildungsrate noch heute enorm hoch</w:t>
      </w:r>
    </w:p>
    <w:p w:rsidR="000E0B38" w:rsidRDefault="000E0B38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Über 3.5 Millionen Minen und hunderte nicht detonierte Sprengköpfe der </w:t>
      </w:r>
      <w:r w:rsidR="004678CD">
        <w:rPr>
          <w:lang w:val="de-DE"/>
        </w:rPr>
        <w:t xml:space="preserve">US </w:t>
      </w:r>
      <w:proofErr w:type="spellStart"/>
      <w:r w:rsidR="004678CD">
        <w:rPr>
          <w:lang w:val="de-DE"/>
        </w:rPr>
        <w:t>Army</w:t>
      </w:r>
      <w:proofErr w:type="spellEnd"/>
      <w:r w:rsidR="004678CD">
        <w:rPr>
          <w:lang w:val="de-DE"/>
        </w:rPr>
        <w:t xml:space="preserve"> im Boden von Vietnam.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Viele unbewohnbare Gebiete, zerstörte Dörfer und Städte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Versorgung wegen nicht geleisteter Hilfe sehr bedürftig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Tägliche Spenden reichen nicht aus, um den Opfern von Agent Orange zu helfen.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20 Dollar pro Tag </w:t>
      </w:r>
      <w:proofErr w:type="spellStart"/>
      <w:r>
        <w:rPr>
          <w:lang w:val="de-DE"/>
        </w:rPr>
        <w:t>Pro</w:t>
      </w:r>
      <w:proofErr w:type="spellEnd"/>
      <w:r>
        <w:rPr>
          <w:lang w:val="de-DE"/>
        </w:rPr>
        <w:t xml:space="preserve"> Person</w:t>
      </w:r>
    </w:p>
    <w:p w:rsidR="004678CD" w:rsidRDefault="004678CD" w:rsidP="000E0B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Schäden an der Pflanzenwelt sowie an der Fruchtbarkeit des Bodens</w:t>
      </w: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Soldaten</w:t>
      </w:r>
    </w:p>
    <w:p w:rsidR="00D419AC" w:rsidRPr="00D419AC" w:rsidRDefault="00D419AC" w:rsidP="00D419AC">
      <w:pPr>
        <w:pStyle w:val="Listenabsatz"/>
        <w:numPr>
          <w:ilvl w:val="0"/>
          <w:numId w:val="8"/>
        </w:numPr>
        <w:rPr>
          <w:lang w:val="de-DE"/>
        </w:rPr>
      </w:pP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Politik</w:t>
      </w:r>
    </w:p>
    <w:p w:rsidR="004678CD" w:rsidRDefault="004678CD" w:rsidP="004678C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Südvietnamesisches Volk wird vom kommunistischen Norden übernommen</w:t>
      </w:r>
    </w:p>
    <w:p w:rsidR="004678CD" w:rsidRPr="004678CD" w:rsidRDefault="004678CD" w:rsidP="004678C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Namensänderung de</w:t>
      </w:r>
      <w:r w:rsidR="00D419AC">
        <w:rPr>
          <w:lang w:val="de-DE"/>
        </w:rPr>
        <w:t>r Hauptstadt</w:t>
      </w:r>
    </w:p>
    <w:p w:rsidR="004216E8" w:rsidRDefault="004216E8" w:rsidP="004216E8">
      <w:pPr>
        <w:pStyle w:val="berschrift2"/>
        <w:rPr>
          <w:lang w:val="de-DE"/>
        </w:rPr>
      </w:pPr>
      <w:r>
        <w:rPr>
          <w:lang w:val="de-DE"/>
        </w:rPr>
        <w:t>Wirtschaft</w:t>
      </w:r>
    </w:p>
    <w:p w:rsidR="004678CD" w:rsidRDefault="004678CD" w:rsidP="004678CD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Grosse</w:t>
      </w:r>
      <w:proofErr w:type="spellEnd"/>
      <w:r>
        <w:rPr>
          <w:lang w:val="de-DE"/>
        </w:rPr>
        <w:t xml:space="preserve"> Auswirkung auf die Wirtschaft</w:t>
      </w:r>
    </w:p>
    <w:p w:rsidR="004678CD" w:rsidRPr="004678CD" w:rsidRDefault="004678CD" w:rsidP="004678CD">
      <w:pPr>
        <w:pStyle w:val="Listenabsatz"/>
        <w:numPr>
          <w:ilvl w:val="0"/>
          <w:numId w:val="6"/>
        </w:numPr>
        <w:rPr>
          <w:lang w:val="de-DE"/>
        </w:rPr>
      </w:pPr>
    </w:p>
    <w:p w:rsidR="004216E8" w:rsidRDefault="004216E8" w:rsidP="004216E8">
      <w:pPr>
        <w:pStyle w:val="berschrift1"/>
        <w:rPr>
          <w:lang w:val="de-DE"/>
        </w:rPr>
      </w:pPr>
      <w:r>
        <w:rPr>
          <w:lang w:val="de-DE"/>
        </w:rPr>
        <w:t>Folgen für Beziehung Russland Amerika</w:t>
      </w:r>
    </w:p>
    <w:p w:rsidR="004216E8" w:rsidRDefault="004216E8" w:rsidP="004216E8">
      <w:pPr>
        <w:rPr>
          <w:lang w:val="de-DE"/>
        </w:rPr>
      </w:pPr>
    </w:p>
    <w:p w:rsidR="004216E8" w:rsidRDefault="004216E8" w:rsidP="004216E8">
      <w:pPr>
        <w:pStyle w:val="berschrift1"/>
        <w:rPr>
          <w:lang w:val="de-DE"/>
        </w:rPr>
      </w:pPr>
      <w:r>
        <w:rPr>
          <w:lang w:val="de-DE"/>
        </w:rPr>
        <w:t>Agent Orange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 w:rsidRPr="004216E8">
        <w:rPr>
          <w:lang w:val="de-DE"/>
        </w:rPr>
        <w:t>Zwischen 1962 und 1971 eingesetzt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Operation Ranch Hand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TCDD (Heutiges Seveso-Gift)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Fehlbildungen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Totgeburten und Schwerbehindertenrate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Folgen sind über viele Generationen bemerkbar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Vergiftung Boden</w:t>
      </w:r>
    </w:p>
    <w:p w:rsidR="004216E8" w:rsidRDefault="004216E8" w:rsidP="004216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Vergiftung Ressourcen wie Nahrungsmittel, </w:t>
      </w:r>
      <w:proofErr w:type="gramStart"/>
      <w:r>
        <w:rPr>
          <w:lang w:val="de-DE"/>
        </w:rPr>
        <w:t>Wasser….</w:t>
      </w:r>
      <w:proofErr w:type="gramEnd"/>
      <w:r>
        <w:rPr>
          <w:lang w:val="de-DE"/>
        </w:rPr>
        <w:t>.</w:t>
      </w:r>
    </w:p>
    <w:p w:rsidR="004216E8" w:rsidRDefault="004216E8" w:rsidP="000E0B38">
      <w:pPr>
        <w:rPr>
          <w:lang w:val="de-DE"/>
        </w:rPr>
      </w:pPr>
    </w:p>
    <w:p w:rsidR="000E0B38" w:rsidRDefault="000E0B38" w:rsidP="000E0B38">
      <w:pPr>
        <w:rPr>
          <w:lang w:val="de-DE"/>
        </w:rPr>
      </w:pPr>
      <w:r>
        <w:rPr>
          <w:lang w:val="de-DE"/>
        </w:rPr>
        <w:t xml:space="preserve">Die Folgen von Agent Orange waren auf vietnamesischer Seite sowie auf amerikanischer Seite </w:t>
      </w:r>
      <w:r w:rsidR="00E72C63">
        <w:rPr>
          <w:lang w:val="de-DE"/>
        </w:rPr>
        <w:t>verheerend</w:t>
      </w:r>
      <w:r>
        <w:rPr>
          <w:lang w:val="de-DE"/>
        </w:rPr>
        <w:t>. Durch das Gift TCDD wird das Erbgut der kontaminierten Personen auf Dauer geschädigt. Dies führt bei den betroffenen Personen zu Schäden an Haut, körperliche Beschwerden, Fehlgeburten, Totgeburten….</w:t>
      </w:r>
    </w:p>
    <w:p w:rsidR="000E0B38" w:rsidRPr="000E0B38" w:rsidRDefault="000E0B38" w:rsidP="00E72C63">
      <w:pPr>
        <w:tabs>
          <w:tab w:val="left" w:pos="5589"/>
        </w:tabs>
        <w:rPr>
          <w:lang w:val="de-DE"/>
        </w:rPr>
      </w:pPr>
      <w:r>
        <w:rPr>
          <w:lang w:val="de-DE"/>
        </w:rPr>
        <w:t xml:space="preserve">Durch die Pestizide wurden Ressourcen für die </w:t>
      </w:r>
      <w:r w:rsidR="00E72C63">
        <w:rPr>
          <w:lang w:val="de-DE"/>
        </w:rPr>
        <w:tab/>
      </w:r>
      <w:r w:rsidR="00E72C63">
        <w:rPr>
          <w:lang w:val="de-DE"/>
        </w:rPr>
        <w:br/>
      </w:r>
      <w:r w:rsidR="00E72C63">
        <w:rPr>
          <w:lang w:val="de-DE"/>
        </w:rPr>
        <w:br/>
      </w:r>
    </w:p>
    <w:p w:rsidR="004216E8" w:rsidRPr="004216E8" w:rsidRDefault="004216E8" w:rsidP="004216E8">
      <w:pPr>
        <w:rPr>
          <w:lang w:val="de-DE"/>
        </w:rPr>
      </w:pPr>
    </w:p>
    <w:sectPr w:rsidR="004216E8" w:rsidRPr="00421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4675"/>
    <w:multiLevelType w:val="hybridMultilevel"/>
    <w:tmpl w:val="615C5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1C4"/>
    <w:multiLevelType w:val="hybridMultilevel"/>
    <w:tmpl w:val="8E64F7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710BB"/>
    <w:multiLevelType w:val="hybridMultilevel"/>
    <w:tmpl w:val="0E24BE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47F80"/>
    <w:multiLevelType w:val="hybridMultilevel"/>
    <w:tmpl w:val="48A69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A7EA1"/>
    <w:multiLevelType w:val="hybridMultilevel"/>
    <w:tmpl w:val="515E03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C76B5"/>
    <w:multiLevelType w:val="hybridMultilevel"/>
    <w:tmpl w:val="BCFA70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479CF"/>
    <w:multiLevelType w:val="hybridMultilevel"/>
    <w:tmpl w:val="9E6077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51941"/>
    <w:multiLevelType w:val="hybridMultilevel"/>
    <w:tmpl w:val="1862A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E8"/>
    <w:rsid w:val="000C1F9A"/>
    <w:rsid w:val="000E0B38"/>
    <w:rsid w:val="001E5F91"/>
    <w:rsid w:val="004216E8"/>
    <w:rsid w:val="004678CD"/>
    <w:rsid w:val="008D11F6"/>
    <w:rsid w:val="00D419AC"/>
    <w:rsid w:val="00E7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429ED"/>
  <w15:chartTrackingRefBased/>
  <w15:docId w15:val="{4BB36A12-F49C-4BE4-9ACF-E29BF24C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1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216E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E5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Chemische_Waf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Fäbu</dc:creator>
  <cp:keywords/>
  <dc:description/>
  <cp:lastModifiedBy>Marc Binggeli</cp:lastModifiedBy>
  <cp:revision>6</cp:revision>
  <dcterms:created xsi:type="dcterms:W3CDTF">2019-03-18T20:19:00Z</dcterms:created>
  <dcterms:modified xsi:type="dcterms:W3CDTF">2019-03-19T19:01:00Z</dcterms:modified>
</cp:coreProperties>
</file>