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X3f749bb31008693809a50e5d775c5c0f57fc794"/>
    <w:p>
      <w:pPr>
        <w:pStyle w:val="Heading1"/>
      </w:pPr>
      <w:r>
        <w:t xml:space="preserve">An Integrated Deep-Learning Pipeline for Forest-Loss Detection and Vegetation-Density-Aware Carbon-Emission Estimation from Bi-temporal Sentinel-2 Imagery</w:t>
      </w:r>
    </w:p>
    <w:p>
      <w:pPr>
        <w:pStyle w:val="FirstParagraph"/>
      </w:pPr>
      <w:r>
        <w:rPr>
          <w:i/>
          <w:iCs/>
        </w:rPr>
        <w:t xml:space="preserve">Short paper / workshop manuscript. This is a single-model pipeline paper: the</w:t>
      </w:r>
      <w:r>
        <w:rPr>
          <w:i/>
          <w:iCs/>
        </w:rPr>
        <w:t xml:space="preserve"> </w:t>
      </w:r>
      <w:r>
        <w:rPr>
          <w:i/>
          <w:iCs/>
        </w:rPr>
        <w:t xml:space="preserve">segmentation network is a plain U-Net. All quantitative values are produced by</w:t>
      </w:r>
      <w:r>
        <w:rPr>
          <w:i/>
          <w:iCs/>
        </w:rPr>
        <w:t xml:space="preserve"> </w:t>
      </w:r>
      <w:r>
        <w:rPr>
          <w:i/>
          <w:iCs/>
        </w:rPr>
        <w:t xml:space="preserve">the scripts in this repository and are reproducible from the committed configs</w:t>
      </w:r>
      <w:r>
        <w:rPr>
          <w:i/>
          <w:iCs/>
        </w:rPr>
        <w:t xml:space="preserve"> </w:t>
      </w:r>
      <w:r>
        <w:rPr>
          <w:i/>
          <w:iCs/>
        </w:rPr>
        <w:t xml:space="preserve">and data-provenance files; no numbers are placeholders. Sections 5.6 and 5.7</w:t>
      </w:r>
      <w:r>
        <w:rPr>
          <w:i/>
          <w:iCs/>
        </w:rPr>
        <w:t xml:space="preserve"> </w:t>
      </w:r>
      <w:r>
        <w:rPr>
          <w:i/>
          <w:iCs/>
        </w:rPr>
        <w:t xml:space="preserve">document a data-leakage audit and a multi-seed variance analysis and the full</w:t>
      </w:r>
      <w:r>
        <w:rPr>
          <w:i/>
          <w:iCs/>
        </w:rPr>
        <w:t xml:space="preserve"> </w:t>
      </w:r>
      <w:r>
        <w:rPr>
          <w:i/>
          <w:iCs/>
        </w:rPr>
        <w:t xml:space="preserve">re-runs that followed. Segmentation metrics are reported as mean +/- sd over 3</w:t>
      </w:r>
      <w:r>
        <w:rPr>
          <w:i/>
          <w:iCs/>
        </w:rPr>
        <w:t xml:space="preserve"> </w:t>
      </w:r>
      <w:r>
        <w:rPr>
          <w:i/>
          <w:iCs/>
        </w:rPr>
        <w:t xml:space="preserve">seeds (42, 43, 44); single-checkpoint numbers are the median-validation-Dice</w:t>
      </w:r>
      <w:r>
        <w:rPr>
          <w:i/>
          <w:iCs/>
        </w:rPr>
        <w:t xml:space="preserve"> </w:t>
      </w:r>
      <w:r>
        <w:rPr>
          <w:i/>
          <w:iCs/>
        </w:rPr>
        <w:t xml:space="preserve">seed (43).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an end-to-end pipeline that takes two dated Sentinel-2 composites</w:t>
      </w:r>
      <w:r>
        <w:t xml:space="preserve"> </w:t>
      </w:r>
      <w:r>
        <w:t xml:space="preserve">and returns a hectares-lost and a tonnes-CO2 figure for a study region in one</w:t>
      </w:r>
      <w:r>
        <w:t xml:space="preserve"> </w:t>
      </w:r>
      <w:r>
        <w:t xml:space="preserve">system. Forest loss between the two dates is segmented directly from an 8-band</w:t>
      </w:r>
      <w:r>
        <w:t xml:space="preserve"> </w:t>
      </w:r>
      <w:r>
        <w:t xml:space="preserve">bi-temporal stack with a plain U-Net, trained with early stopping on a Western</w:t>
      </w:r>
      <w:r>
        <w:t xml:space="preserve"> </w:t>
      </w:r>
      <w:r>
        <w:t xml:space="preserve">Ghats (Wayanad, Kerala) tile with Hansen Global Forest Change (GFC) labels for</w:t>
      </w:r>
      <w:r>
        <w:t xml:space="preserve"> </w:t>
      </w:r>
      <w:r>
        <w:t xml:space="preserve">calendar 2019-2020. The predicted change mask is converted to hectares with the</w:t>
      </w:r>
      <w:r>
        <w:t xml:space="preserve"> </w:t>
      </w:r>
      <w:r>
        <w:t xml:space="preserve">10 m ground sample distance, and each cleared pixel’s pre-clearing NDVI is</w:t>
      </w:r>
      <w:r>
        <w:t xml:space="preserve"> </w:t>
      </w:r>
      <w:r>
        <w:t xml:space="preserve">mapped to an aboveground carbon density with (i) a coarse 3-bin baseline and</w:t>
      </w:r>
      <w:r>
        <w:t xml:space="preserve"> </w:t>
      </w:r>
      <w:r>
        <w:t xml:space="preserve">(ii) a continuous regression calibrated against published Western Ghats</w:t>
      </w:r>
      <w:r>
        <w:t xml:space="preserve"> </w:t>
      </w:r>
      <w:r>
        <w:t xml:space="preserve">field-inventory carbon densities. Across 3 seeds the U-Net reaches</w:t>
      </w:r>
      <w:r>
        <w:t xml:space="preserve"> </w:t>
      </w:r>
      <w:r>
        <w:rPr>
          <w:b/>
          <w:bCs/>
        </w:rPr>
        <w:t xml:space="preserve">strict test</w:t>
      </w:r>
      <w:r>
        <w:rPr>
          <w:b/>
          <w:bCs/>
        </w:rPr>
        <w:t xml:space="preserve"> </w:t>
      </w:r>
      <w:r>
        <w:rPr>
          <w:b/>
          <w:bCs/>
        </w:rPr>
        <w:t xml:space="preserve">IoU 0.158 +/- 0.016 / Dice 0.273 +/- 0.024</w:t>
      </w:r>
      <w:r>
        <w:t xml:space="preserve"> </w:t>
      </w:r>
      <w:r>
        <w:t xml:space="preserve">(tolerance IoU, ground truth</w:t>
      </w:r>
      <w:r>
        <w:t xml:space="preserve"> </w:t>
      </w:r>
      <w:r>
        <w:t xml:space="preserve">dilated by one 30 m GFC cell: 0.248 +/- 0.018). An Attention U-Net with an</w:t>
      </w:r>
      <w:r>
        <w:t xml:space="preserve"> </w:t>
      </w:r>
      <w:r>
        <w:t xml:space="preserve">ImageNet-pretrained MobileNetV2 encoder was also trained under an identical</w:t>
      </w:r>
      <w:r>
        <w:t xml:space="preserve"> </w:t>
      </w:r>
      <w:r>
        <w:t xml:space="preserve">schedule and did not improve on the plain U-Net (strict test IoU 0.113 +/-</w:t>
      </w:r>
      <w:r>
        <w:t xml:space="preserve"> </w:t>
      </w:r>
      <w:r>
        <w:t xml:space="preserve">0.023); the plain U-Net is used throughout. On the carry-forward checkpoint</w:t>
      </w:r>
      <w:r>
        <w:t xml:space="preserve"> </w:t>
      </w:r>
      <w:r>
        <w:t xml:space="preserve">(median-validation-Dice seed) the pipeline</w:t>
      </w:r>
      <w:r>
        <w:t xml:space="preserve"> </w:t>
      </w:r>
      <w:r>
        <w:rPr>
          <w:b/>
          <w:bCs/>
        </w:rPr>
        <w:t xml:space="preserve">under-predicts the held-out test</w:t>
      </w:r>
      <w:r>
        <w:rPr>
          <w:b/>
          <w:bCs/>
        </w:rPr>
        <w:t xml:space="preserve"> </w:t>
      </w:r>
      <w:r>
        <w:rPr>
          <w:b/>
          <w:bCs/>
        </w:rPr>
        <w:t xml:space="preserve">area by ~27%</w:t>
      </w:r>
      <w:r>
        <w:t xml:space="preserve"> </w:t>
      </w:r>
      <w:r>
        <w:t xml:space="preserve">(37.3 ha vs a 51.5 ha GFC reference) - closer to correct than</w:t>
      </w:r>
      <w:r>
        <w:t xml:space="preserve"> </w:t>
      </w:r>
      <w:r>
        <w:t xml:space="preserve">the ~0.17 pixel IoU alone suggests, but not a near-match. The primary</w:t>
      </w:r>
      <w:r>
        <w:t xml:space="preserve"> </w:t>
      </w:r>
      <w:r>
        <w:t xml:space="preserve">regression yields ~17,900 t CO2 for the predicted test-region loss (0.83x the</w:t>
      </w:r>
      <w:r>
        <w:t xml:space="preserve"> </w:t>
      </w:r>
      <w:r>
        <w:t xml:space="preserve">GFC-reference-area figure); the CO2 ratio is less extreme than the area ratio</w:t>
      </w:r>
      <w:r>
        <w:t xml:space="preserve"> </w:t>
      </w:r>
      <w:r>
        <w:t xml:space="preserve">because an area under-count is partly offset by a carbon-density over-count, so</w:t>
      </w:r>
      <w:r>
        <w:t xml:space="preserve"> </w:t>
      </w:r>
      <w:r>
        <w:t xml:space="preserve">neither is independent evidence of accuracy. On the GFC reference area the</w:t>
      </w:r>
      <w:r>
        <w:t xml:space="preserve"> </w:t>
      </w:r>
      <w:r>
        <w:t xml:space="preserve">pipeline’s per-hectare emission factor is ~60% of the Global Forest Watch</w:t>
      </w:r>
      <w:r>
        <w:t xml:space="preserve"> </w:t>
      </w:r>
      <w:r>
        <w:t xml:space="preserve">all-pools figure for Wayanad, the expected fraction for an aboveground-only,</w:t>
      </w:r>
      <w:r>
        <w:t xml:space="preserve"> </w:t>
      </w:r>
      <w:r>
        <w:t xml:space="preserve">CO2-only accounting. The contributions are the</w:t>
      </w:r>
      <w:r>
        <w:t xml:space="preserve"> </w:t>
      </w:r>
      <w:r>
        <w:rPr>
          <w:b/>
          <w:bCs/>
        </w:rPr>
        <w:t xml:space="preserve">integrated, honestly-audited</w:t>
      </w:r>
      <w:r>
        <w:rPr>
          <w:b/>
          <w:bCs/>
        </w:rPr>
        <w:t xml:space="preserve"> </w:t>
      </w:r>
      <w:r>
        <w:rPr>
          <w:b/>
          <w:bCs/>
        </w:rPr>
        <w:t xml:space="preserve">pipeline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bins-to-regression carbon upgrade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Operational deforestation monitoring and its translation into carbon-emission</w:t>
      </w:r>
      <w:r>
        <w:t xml:space="preserve"> </w:t>
      </w:r>
      <w:r>
        <w:t xml:space="preserve">estimates are usually handled by separate systems: a change-detection product</w:t>
      </w:r>
      <w:r>
        <w:t xml:space="preserve"> </w:t>
      </w:r>
      <w:r>
        <w:t xml:space="preserve">(e.g. Hansen GFC) on one side, and a carbon-flux model (e.g. Global Forest</w:t>
      </w:r>
      <w:r>
        <w:t xml:space="preserve"> </w:t>
      </w:r>
      <w:r>
        <w:t xml:space="preserve">Watch / Harris et al. 2021) on the other, each with its own inputs, resolution</w:t>
      </w:r>
      <w:r>
        <w:t xml:space="preserve"> </w:t>
      </w:r>
      <w:r>
        <w:t xml:space="preserve">and assumptions. For a specific study region and a specific two-year window, a</w:t>
      </w:r>
      <w:r>
        <w:t xml:space="preserve"> </w:t>
      </w:r>
      <w:r>
        <w:t xml:space="preserve">researcher who wants</w:t>
      </w:r>
      <w:r>
        <w:t xml:space="preserve"> </w:t>
      </w:r>
      <w:r>
        <w:t xml:space="preserve">“how many hectares were lost and how much CO2 did that</w:t>
      </w:r>
      <w:r>
        <w:t xml:space="preserve"> </w:t>
      </w:r>
      <w:r>
        <w:t xml:space="preserve">release”</w:t>
      </w:r>
      <w:r>
        <w:t xml:space="preserve"> </w:t>
      </w:r>
      <w:r>
        <w:t xml:space="preserve">must stitch these together by hand.</w:t>
      </w:r>
    </w:p>
    <w:p>
      <w:pPr>
        <w:pStyle w:val="BodyText"/>
      </w:pPr>
      <w:r>
        <w:t xml:space="preserve">This paper builds that stitch as a single reproducible pipeline and validates</w:t>
      </w:r>
      <w:r>
        <w:t xml:space="preserve"> </w:t>
      </w:r>
      <w:r>
        <w:t xml:space="preserve">it honestly, end to end, at a scope that is actually finishable:</w:t>
      </w:r>
      <w:r>
        <w:t xml:space="preserve"> </w:t>
      </w:r>
      <w:r>
        <w:rPr>
          <w:b/>
          <w:bCs/>
        </w:rPr>
        <w:t xml:space="preserve">one sensor</w:t>
      </w:r>
      <w:r>
        <w:rPr>
          <w:b/>
          <w:bCs/>
        </w:rPr>
        <w:t xml:space="preserve"> </w:t>
      </w:r>
      <w:r>
        <w:rPr>
          <w:b/>
          <w:bCs/>
        </w:rPr>
        <w:t xml:space="preserve">(Sentinel-2), one region (a Wayanad plateau tile), one window (2019 -&gt; 2021</w:t>
      </w:r>
      <w:r>
        <w:rPr>
          <w:b/>
          <w:bCs/>
        </w:rPr>
        <w:t xml:space="preserve"> </w:t>
      </w:r>
      <w:r>
        <w:rPr>
          <w:b/>
          <w:bCs/>
        </w:rPr>
        <w:t xml:space="preserve">dry-season composites), a plain U-Net segmenter, and a carbon step that is</w:t>
      </w:r>
      <w:r>
        <w:rPr>
          <w:b/>
          <w:bCs/>
        </w:rPr>
        <w:t xml:space="preserve"> </w:t>
      </w:r>
      <w:r>
        <w:rPr>
          <w:b/>
          <w:bCs/>
        </w:rPr>
        <w:t xml:space="preserve">upgraded from fixed bins to a calibrated regression.</w:t>
      </w:r>
      <w:r>
        <w:t xml:space="preserve"> </w:t>
      </w:r>
      <w:r>
        <w:t xml:space="preserve">A leakage audit and a</w:t>
      </w:r>
      <w:r>
        <w:t xml:space="preserve"> </w:t>
      </w:r>
      <w:r>
        <w:t xml:space="preserve">seed-variance analysis (Sections 5.6-5.7) each forced a full re-training and</w:t>
      </w:r>
      <w:r>
        <w:t xml:space="preserve"> </w:t>
      </w:r>
      <w:r>
        <w:t xml:space="preserve">re-evaluation; both are reported openly. An Attention U-Net with a</w:t>
      </w:r>
      <w:r>
        <w:t xml:space="preserve"> </w:t>
      </w:r>
      <w:r>
        <w:t xml:space="preserve">MobileNetV2 encoder was also tried and is retained in the repository as a</w:t>
      </w:r>
      <w:r>
        <w:t xml:space="preserve"> </w:t>
      </w:r>
      <w:r>
        <w:t xml:space="preserve">recorded negative result (Section 5.1), not a headline.</w:t>
      </w:r>
    </w:p>
    <w:p>
      <w:pPr>
        <w:pStyle w:val="BodyText"/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claimed as novel.</w:t>
      </w:r>
      <w:r>
        <w:t xml:space="preserve"> </w:t>
      </w:r>
      <w:r>
        <w:t xml:space="preserve">MobileNetV2 encoders and Attention U-Nets</w:t>
      </w:r>
      <w:r>
        <w:t xml:space="preserve"> </w:t>
      </w:r>
      <w:r>
        <w:t xml:space="preserve">for deforestation segmentation are established (John and Zhang, 2022);</w:t>
      </w:r>
      <w:r>
        <w:t xml:space="preserve"> </w:t>
      </w:r>
      <w:r>
        <w:t xml:space="preserve">NDVI-based carbon binning is weaker than regression approaches calibrated on</w:t>
      </w:r>
      <w:r>
        <w:t xml:space="preserve"> </w:t>
      </w:r>
      <w:r>
        <w:t xml:space="preserve">biomass data. The genuine contributions are:</w:t>
      </w:r>
    </w:p>
    <w:p>
      <w:pPr>
        <w:pStyle w:val="Compact"/>
        <w:numPr>
          <w:ilvl w:val="0"/>
          <w:numId w:val="1001"/>
        </w:numPr>
      </w:pPr>
      <w:r>
        <w:t xml:space="preserve">an integrated raw-imagery -&gt; change-mask -&gt; hectares -&gt; tonnes-CO2 pipeline</w:t>
      </w:r>
      <w:r>
        <w:t xml:space="preserve"> </w:t>
      </w:r>
      <w:r>
        <w:t xml:space="preserve">with each stage checked against an external reference, and</w:t>
      </w:r>
    </w:p>
    <w:p>
      <w:pPr>
        <w:pStyle w:val="Compact"/>
        <w:numPr>
          <w:ilvl w:val="0"/>
          <w:numId w:val="1001"/>
        </w:numPr>
      </w:pPr>
      <w:r>
        <w:t xml:space="preserve">replacing three hard-coded NDVI carbon constants with a continuous,</w:t>
      </w:r>
      <w:r>
        <w:t xml:space="preserve"> </w:t>
      </w:r>
      <w:r>
        <w:t xml:space="preserve">regionally-calibrated, vegetation-density-aware regression.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Deforestation segmentation.</w:t>
      </w:r>
      <w:r>
        <w:t xml:space="preserve"> </w:t>
      </w:r>
      <w:r>
        <w:rPr>
          <w:i/>
          <w:iCs/>
        </w:rPr>
        <w:t xml:space="preserve">Ronneberger et al. (2015)</w:t>
      </w:r>
      <w:r>
        <w:t xml:space="preserve"> </w:t>
      </w:r>
      <w:r>
        <w:t xml:space="preserve">introduced the</w:t>
      </w:r>
      <w:r>
        <w:t xml:space="preserve"> </w:t>
      </w:r>
      <w:r>
        <w:t xml:space="preserve">U-Net encoder-decoder with skip connections used here.</w:t>
      </w:r>
      <w:r>
        <w:t xml:space="preserve"> </w:t>
      </w:r>
      <w:r>
        <w:rPr>
          <w:i/>
          <w:iCs/>
        </w:rPr>
        <w:t xml:space="preserve">Oktay et al. (2018)</w:t>
      </w:r>
      <w:r>
        <w:t xml:space="preserve"> </w:t>
      </w:r>
      <w:r>
        <w:t xml:space="preserve">added additive attention gates on the skips (</w:t>
      </w:r>
      <w:r>
        <w:t xml:space="preserve">“Attention U-Net”</w:t>
      </w:r>
      <w:r>
        <w:t xml:space="preserve">);</w:t>
      </w:r>
      <w:r>
        <w:t xml:space="preserve"> </w:t>
      </w:r>
      <w:r>
        <w:rPr>
          <w:i/>
          <w:iCs/>
        </w:rPr>
        <w:t xml:space="preserve">Sandler et</w:t>
      </w:r>
      <w:r>
        <w:rPr>
          <w:i/>
          <w:iCs/>
        </w:rPr>
        <w:t xml:space="preserve"> </w:t>
      </w:r>
      <w:r>
        <w:rPr>
          <w:i/>
          <w:iCs/>
        </w:rPr>
        <w:t xml:space="preserve">al. (2018)</w:t>
      </w:r>
      <w:r>
        <w:t xml:space="preserve"> </w:t>
      </w:r>
      <w:r>
        <w:t xml:space="preserve">proposed the MobileNetV2 backbone.</w:t>
      </w:r>
      <w:r>
        <w:t xml:space="preserve"> </w:t>
      </w:r>
      <w:r>
        <w:rPr>
          <w:i/>
          <w:iCs/>
        </w:rPr>
        <w:t xml:space="preserve">John and Zhang (2022)</w:t>
      </w:r>
      <w:r>
        <w:t xml:space="preserve"> </w:t>
      </w:r>
      <w:r>
        <w:t xml:space="preserve">combined</w:t>
      </w:r>
      <w:r>
        <w:t xml:space="preserve"> </w:t>
      </w:r>
      <w:r>
        <w:t xml:space="preserve">these for deforestation, applying an Attention U-Net to single-image Sentinel-2</w:t>
      </w:r>
      <w:r>
        <w:t xml:space="preserve"> </w:t>
      </w:r>
      <w:r>
        <w:t xml:space="preserve">semantic segmentation of deforestation polygons in the Amazon and Atlantic</w:t>
      </w:r>
      <w:r>
        <w:t xml:space="preserve"> </w:t>
      </w:r>
      <w:r>
        <w:t xml:space="preserve">Forest, reporting test F1 of 0.955-0.977 and IoU of 0.90-0.95.</w:t>
      </w:r>
      <w:r>
        <w:t xml:space="preserve"> </w:t>
      </w:r>
      <w:r>
        <w:rPr>
          <w:b/>
          <w:bCs/>
        </w:rPr>
        <w:t xml:space="preserve">This work</w:t>
      </w:r>
      <w:r>
        <w:rPr>
          <w:b/>
          <w:bCs/>
        </w:rPr>
        <w:t xml:space="preserve"> </w:t>
      </w:r>
      <w:r>
        <w:rPr>
          <w:b/>
          <w:bCs/>
        </w:rPr>
        <w:t xml:space="preserve">differs</w:t>
      </w:r>
      <w:r>
        <w:t xml:space="preserve"> </w:t>
      </w:r>
      <w:r>
        <w:t xml:space="preserve">in setting: (a) the task is</w:t>
      </w:r>
      <w:r>
        <w:t xml:space="preserve"> </w:t>
      </w:r>
      <w:r>
        <w:rPr>
          <w:i/>
          <w:iCs/>
        </w:rPr>
        <w:t xml:space="preserve">bi-temporal change</w:t>
      </w:r>
      <w:r>
        <w:t xml:space="preserve"> </w:t>
      </w:r>
      <w:r>
        <w:t xml:space="preserve">(detect what was</w:t>
      </w:r>
      <w:r>
        <w:t xml:space="preserve"> </w:t>
      </w:r>
      <w:r>
        <w:t xml:space="preserve">cleared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dates) rather than segmenting already-visible clearing in</w:t>
      </w:r>
      <w:r>
        <w:t xml:space="preserve"> </w:t>
      </w:r>
      <w:r>
        <w:t xml:space="preserve">one image; (b) the positive class here is ~0.3% of pixels (fragmented</w:t>
      </w:r>
      <w:r>
        <w:t xml:space="preserve"> </w:t>
      </w:r>
      <w:r>
        <w:t xml:space="preserve">smallholder / plantation loss with 30 m GFC labels) versus their abundant,</w:t>
      </w:r>
      <w:r>
        <w:t xml:space="preserve"> </w:t>
      </w:r>
      <w:r>
        <w:t xml:space="preserve">hand-digitised positive class. We tried the same Attention U-Net + MobileNetV2</w:t>
      </w:r>
      <w:r>
        <w:t xml:space="preserve"> </w:t>
      </w:r>
      <w:r>
        <w:t xml:space="preserve">architecture in this setting and it did not improve on a plain U-Net</w:t>
      </w:r>
      <w:r>
        <w:t xml:space="preserve"> </w:t>
      </w:r>
      <w:r>
        <w:t xml:space="preserve">(Section 5.1), so the pipeline uses the plain U-Net.</w:t>
      </w:r>
    </w:p>
    <w:p>
      <w:pPr>
        <w:pStyle w:val="BodyText"/>
      </w:pPr>
      <w:r>
        <w:rPr>
          <w:b/>
          <w:bCs/>
        </w:rPr>
        <w:t xml:space="preserve">Forest-cover reference data.</w:t>
      </w:r>
      <w:r>
        <w:t xml:space="preserve"> </w:t>
      </w:r>
      <w:r>
        <w:rPr>
          <w:i/>
          <w:iCs/>
        </w:rPr>
        <w:t xml:space="preserve">Hansen et al. (2013)</w:t>
      </w:r>
      <w:r>
        <w:t xml:space="preserve"> </w:t>
      </w:r>
      <w:r>
        <w:t xml:space="preserve">produced the Global</w:t>
      </w:r>
      <w:r>
        <w:t xml:space="preserve"> </w:t>
      </w:r>
      <w:r>
        <w:t xml:space="preserve">Forest Change product; its</w:t>
      </w:r>
      <w:r>
        <w:t xml:space="preserve"> </w:t>
      </w:r>
      <w:r>
        <w:rPr>
          <w:rStyle w:val="VerbatimChar"/>
        </w:rPr>
        <w:t xml:space="preserve">lossyear</w:t>
      </w:r>
      <w:r>
        <w:t xml:space="preserve"> </w:t>
      </w:r>
      <w:r>
        <w:t xml:space="preserve">raster is a year-of-loss code, which we</w:t>
      </w:r>
      <w:r>
        <w:t xml:space="preserve"> </w:t>
      </w:r>
      <w:r>
        <w:t xml:space="preserve">convert to a binary T-vs-T+1 mask as a documented sub-step.</w:t>
      </w:r>
      <w:r>
        <w:t xml:space="preserve"> </w:t>
      </w:r>
      <w:r>
        <w:rPr>
          <w:i/>
          <w:iCs/>
        </w:rPr>
        <w:t xml:space="preserve">Harris et al.</w:t>
      </w:r>
      <w:r>
        <w:rPr>
          <w:i/>
          <w:iCs/>
        </w:rPr>
        <w:t xml:space="preserve"> </w:t>
      </w:r>
      <w:r>
        <w:rPr>
          <w:i/>
          <w:iCs/>
        </w:rPr>
        <w:t xml:space="preserve">(2021)</w:t>
      </w:r>
      <w:r>
        <w:t xml:space="preserve"> </w:t>
      </w:r>
      <w:r>
        <w:t xml:space="preserve">built the global forest carbon-flux layers that Global Forest Watch</w:t>
      </w:r>
      <w:r>
        <w:t xml:space="preserve"> </w:t>
      </w:r>
      <w:r>
        <w:t xml:space="preserve">serves at the admin level; we use its Wayanad figure only as an external</w:t>
      </w:r>
      <w:r>
        <w:t xml:space="preserve"> </w:t>
      </w:r>
      <w:r>
        <w:t xml:space="preserve">plausibility check.</w:t>
      </w:r>
    </w:p>
    <w:p>
      <w:pPr>
        <w:pStyle w:val="BodyText"/>
      </w:pPr>
      <w:r>
        <w:rPr>
          <w:b/>
          <w:bCs/>
        </w:rPr>
        <w:t xml:space="preserve">Carbon / biomass regression from optical data.</w:t>
      </w:r>
      <w:r>
        <w:t xml:space="preserve"> </w:t>
      </w:r>
      <w:r>
        <w:rPr>
          <w:i/>
          <w:iCs/>
        </w:rPr>
        <w:t xml:space="preserve">Li et al. (2020)</w:t>
      </w:r>
      <w:r>
        <w:t xml:space="preserve"> </w:t>
      </w:r>
      <w:r>
        <w:t xml:space="preserve">compared</w:t>
      </w:r>
      <w:r>
        <w:t xml:space="preserve"> </w:t>
      </w:r>
      <w:r>
        <w:t xml:space="preserve">linear regression, random forest and XGBoost on Landsat-8 + Sentinel-1A</w:t>
      </w:r>
      <w:r>
        <w:t xml:space="preserve"> </w:t>
      </w:r>
      <w:r>
        <w:t xml:space="preserve">predictors (including NDVI) for subtropical aboveground biomass, with a best</w:t>
      </w:r>
      <w:r>
        <w:t xml:space="preserve"> </w:t>
      </w:r>
      <w:r>
        <w:t xml:space="preserve">R2 of 0.75 (RMSE 20.9 Mg/ha).</w:t>
      </w:r>
      <w:r>
        <w:t xml:space="preserve"> </w:t>
      </w:r>
      <w:r>
        <w:rPr>
          <w:i/>
          <w:iCs/>
        </w:rPr>
        <w:t xml:space="preserve">Muhammad et al. (2024)</w:t>
      </w:r>
      <w:r>
        <w:t xml:space="preserve"> </w:t>
      </w:r>
      <w:r>
        <w:t xml:space="preserve">used Sentinel-2 bands</w:t>
      </w:r>
      <w:r>
        <w:t xml:space="preserve"> </w:t>
      </w:r>
      <w:r>
        <w:t xml:space="preserve">and 44 vegetation indices (including NDVI) with random forest for dry-temperate</w:t>
      </w:r>
      <w:r>
        <w:t xml:space="preserve"> </w:t>
      </w:r>
      <w:r>
        <w:t xml:space="preserve">biomass, best R2 0.83 (RMSE ~30 Mg/ha). Both show that a regression on</w:t>
      </w:r>
      <w:r>
        <w:t xml:space="preserve"> </w:t>
      </w:r>
      <w:r>
        <w:t xml:space="preserve">spectral / index predictors is the standard, and that it clearly outperforms</w:t>
      </w:r>
      <w:r>
        <w:t xml:space="preserve"> </w:t>
      </w:r>
      <w:r>
        <w:t xml:space="preserve">discrete binning.</w:t>
      </w:r>
      <w:r>
        <w:t xml:space="preserve"> </w:t>
      </w:r>
      <w:r>
        <w:rPr>
          <w:b/>
          <w:bCs/>
        </w:rPr>
        <w:t xml:space="preserve">This work differs</w:t>
      </w:r>
      <w:r>
        <w:t xml:space="preserve"> </w:t>
      </w:r>
      <w:r>
        <w:t xml:space="preserve">by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fitting to co-located biomass</w:t>
      </w:r>
      <w:r>
        <w:t xml:space="preserve"> </w:t>
      </w:r>
      <w:r>
        <w:t xml:space="preserve">plots (which were unavailable and are the highest-risk data task): instead the</w:t>
      </w:r>
      <w:r>
        <w:t xml:space="preserve"> </w:t>
      </w:r>
      <w:r>
        <w:t xml:space="preserve">regression is calibrated against a small table of</w:t>
      </w:r>
      <w:r>
        <w:t xml:space="preserve"> </w:t>
      </w:r>
      <w:r>
        <w:rPr>
          <w:i/>
          <w:iCs/>
        </w:rPr>
        <w:t xml:space="preserve">published</w:t>
      </w:r>
      <w:r>
        <w:t xml:space="preserve"> </w:t>
      </w:r>
      <w:r>
        <w:t xml:space="preserve">regional</w:t>
      </w:r>
      <w:r>
        <w:t xml:space="preserve"> </w:t>
      </w:r>
      <w:r>
        <w:t xml:space="preserve">aboveground carbon densities, with the limitation stated rather than hidden.</w:t>
      </w:r>
      <w:r>
        <w:t xml:space="preserve"> </w:t>
      </w:r>
      <w:r>
        <w:t xml:space="preserve">The Western Ghats field inventories underpinning that table are</w:t>
      </w:r>
      <w:r>
        <w:t xml:space="preserve"> </w:t>
      </w:r>
      <w:r>
        <w:rPr>
          <w:i/>
          <w:iCs/>
        </w:rPr>
        <w:t xml:space="preserve">Padmakumar et</w:t>
      </w:r>
      <w:r>
        <w:rPr>
          <w:i/>
          <w:iCs/>
        </w:rPr>
        <w:t xml:space="preserve"> </w:t>
      </w:r>
      <w:r>
        <w:rPr>
          <w:i/>
          <w:iCs/>
        </w:rPr>
        <w:t xml:space="preserve">al. (2018)</w:t>
      </w:r>
      <w:r>
        <w:t xml:space="preserve">,</w:t>
      </w:r>
      <w:r>
        <w:t xml:space="preserve"> </w:t>
      </w:r>
      <w:r>
        <w:rPr>
          <w:i/>
          <w:iCs/>
        </w:rPr>
        <w:t xml:space="preserve">Kothandaraman et al. (2020)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Jose et al. (2025)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tudy-area-and-data"/>
    <w:p>
      <w:pPr>
        <w:pStyle w:val="Heading2"/>
      </w:pPr>
      <w:r>
        <w:t xml:space="preserve">3. Study area and data</w:t>
      </w:r>
    </w:p>
    <w:p>
      <w:pPr>
        <w:pStyle w:val="FirstParagraph"/>
      </w:pPr>
      <w:r>
        <w:rPr>
          <w:b/>
          <w:bCs/>
        </w:rPr>
        <w:t xml:space="preserve">Region.</w:t>
      </w:r>
      <w:r>
        <w:t xml:space="preserve"> </w:t>
      </w:r>
      <w:r>
        <w:t xml:space="preserve">A ~848 km2 tile of the Wayanad plateau, Western Ghats, Kerala,</w:t>
      </w:r>
      <w:r>
        <w:t xml:space="preserve"> </w:t>
      </w:r>
      <w:r>
        <w:t xml:space="preserve">India; bounding box</w:t>
      </w:r>
      <w:r>
        <w:t xml:space="preserve"> </w:t>
      </w:r>
      <w:r>
        <w:rPr>
          <w:rStyle w:val="VerbatimChar"/>
        </w:rPr>
        <w:t xml:space="preserve">[76.00, 11.55, 76.28, 11.80]</w:t>
      </w:r>
      <w:r>
        <w:t xml:space="preserve"> </w:t>
      </w:r>
      <w:r>
        <w:t xml:space="preserve">(WGS84), working projection</w:t>
      </w:r>
      <w:r>
        <w:t xml:space="preserve"> </w:t>
      </w:r>
      <w:r>
        <w:t xml:space="preserve">UTM 43N (EPSG:32643), 10 m grid (3064 x 2778 px). The landscape is a mosaic of</w:t>
      </w:r>
      <w:r>
        <w:t xml:space="preserve"> </w:t>
      </w:r>
      <w:r>
        <w:t xml:space="preserve">semi-evergreen and moist-deciduous forest, plantation and smallholder</w:t>
      </w:r>
      <w:r>
        <w:t xml:space="preserve"> </w:t>
      </w:r>
      <w:r>
        <w:t xml:space="preserve">agriculture; forest loss here is fragmented, which is a deliberately harder</w:t>
      </w:r>
      <w:r>
        <w:t xml:space="preserve"> </w:t>
      </w:r>
      <w:r>
        <w:t xml:space="preserve">setting than Amazon arc-of-deforestation clearing.</w:t>
      </w:r>
    </w:p>
    <w:p>
      <w:pPr>
        <w:pStyle w:val="BodyText"/>
      </w:pPr>
      <w:r>
        <w:rPr>
          <w:b/>
          <w:bCs/>
        </w:rPr>
        <w:t xml:space="preserve">Imagery.</w:t>
      </w:r>
      <w:r>
        <w:t xml:space="preserve"> </w:t>
      </w:r>
      <w:r>
        <w:t xml:space="preserve">Sentinel-2 L2A (</w:t>
      </w:r>
      <w:r>
        <w:rPr>
          <w:rStyle w:val="VerbatimChar"/>
        </w:rPr>
        <w:t xml:space="preserve">COPERNICUS/S2_SR_HARMONIZED</w:t>
      </w:r>
      <w:r>
        <w:t xml:space="preserve">), two dry-season</w:t>
      </w:r>
      <w:r>
        <w:t xml:space="preserve"> </w:t>
      </w:r>
      <w:r>
        <w:t xml:space="preserve">windows:</w:t>
      </w:r>
      <w:r>
        <w:t xml:space="preserve"> </w:t>
      </w:r>
      <w:r>
        <w:rPr>
          <w:b/>
          <w:bCs/>
        </w:rPr>
        <w:t xml:space="preserve">T = 1 Jan - 15 Apr 2019</w:t>
      </w:r>
      <w:r>
        <w:t xml:space="preserve"> </w:t>
      </w:r>
      <w:r>
        <w:t xml:space="preserve">(84 scenes) and</w:t>
      </w:r>
      <w:r>
        <w:t xml:space="preserve"> </w:t>
      </w:r>
      <w:r>
        <w:rPr>
          <w:b/>
          <w:bCs/>
        </w:rPr>
        <w:t xml:space="preserve">T+1 = 1 Jan - 15 Apr</w:t>
      </w:r>
      <w:r>
        <w:rPr>
          <w:b/>
          <w:bCs/>
        </w:rPr>
        <w:t xml:space="preserve"> </w:t>
      </w:r>
      <w:r>
        <w:rPr>
          <w:b/>
          <w:bCs/>
        </w:rPr>
        <w:t xml:space="preserve">2021</w:t>
      </w:r>
      <w:r>
        <w:t xml:space="preserve"> </w:t>
      </w:r>
      <w:r>
        <w:t xml:space="preserve">(84 scenes). Per window, a cloud-masked (Cloud Score+</w:t>
      </w:r>
      <w:r>
        <w:t xml:space="preserve"> </w:t>
      </w:r>
      <w:r>
        <w:rPr>
          <w:rStyle w:val="VerbatimChar"/>
        </w:rPr>
        <w:t xml:space="preserve">cs_cdf &gt;= 0.60</w:t>
      </w:r>
      <w:r>
        <w:t xml:space="preserve">)</w:t>
      </w:r>
      <w:r>
        <w:t xml:space="preserve"> </w:t>
      </w:r>
      <w:r>
        <w:t xml:space="preserve">per-band median composite of bands B3/B4/B8/B11 -&gt; green / red / NIR / SWIR1,</w:t>
      </w:r>
      <w:r>
        <w:t xml:space="preserve"> </w:t>
      </w:r>
      <w:r>
        <w:t xml:space="preserve">scaled to [0,1] reflectance; SWIR1 is bilinearly resampled 20 m -&gt; 10 m. Blue</w:t>
      </w:r>
      <w:r>
        <w:t xml:space="preserve"> </w:t>
      </w:r>
      <w:r>
        <w:t xml:space="preserve">is dropped (haze-dominated at 10 m); SWIR1 is kept for its canopy-moisture /</w:t>
      </w:r>
      <w:r>
        <w:t xml:space="preserve"> </w:t>
      </w:r>
      <w:r>
        <w:t xml:space="preserve">bare-soil contrast. The two windows are stacked into an 8-band tensor</w:t>
      </w:r>
      <w:r>
        <w:t xml:space="preserve"> </w:t>
      </w:r>
      <w:r>
        <w:rPr>
          <w:rStyle w:val="VerbatimChar"/>
        </w:rPr>
        <w:t xml:space="preserve">[T_g, T_r, T_nir, T_swir1, T1_g, T1_r, T1_nir, T1_swir1]</w:t>
      </w:r>
      <w:r>
        <w:t xml:space="preserve">. 0.57% of pixels are</w:t>
      </w:r>
      <w:r>
        <w:t xml:space="preserve"> </w:t>
      </w:r>
      <w:r>
        <w:t xml:space="preserve">persistently cloudy and are zero-filled and marked invalid (excluded from loss</w:t>
      </w:r>
      <w:r>
        <w:t xml:space="preserve"> </w:t>
      </w:r>
      <w:r>
        <w:t xml:space="preserve">and metrics).</w:t>
      </w:r>
    </w:p>
    <w:p>
      <w:pPr>
        <w:pStyle w:val="BodyText"/>
      </w:pPr>
      <w:r>
        <w:rPr>
          <w:b/>
          <w:bCs/>
        </w:rPr>
        <w:t xml:space="preserve">Labels.</w:t>
      </w:r>
      <w:r>
        <w:t xml:space="preserve"> </w:t>
      </w:r>
      <w:r>
        <w:t xml:space="preserve">Hansen GFC</w:t>
      </w:r>
      <w:r>
        <w:t xml:space="preserve"> </w:t>
      </w:r>
      <w:r>
        <w:rPr>
          <w:rStyle w:val="VerbatimChar"/>
        </w:rPr>
        <w:t xml:space="preserve">UMD/hansen/global_forest_change_2024_v1_12</w:t>
      </w:r>
      <w:r>
        <w:t xml:space="preserve">. Conversion:</w:t>
      </w:r>
      <w:r>
        <w:t xml:space="preserve"> </w:t>
      </w:r>
      <w:r>
        <w:rPr>
          <w:rStyle w:val="VerbatimChar"/>
        </w:rPr>
        <w:t xml:space="preserve">forest2000 = treecover2000 &gt;= 30%</w:t>
      </w:r>
      <w:r>
        <w:t xml:space="preserve">;</w:t>
      </w:r>
      <w:r>
        <w:t xml:space="preserve"> </w:t>
      </w:r>
      <w:r>
        <w:rPr>
          <w:rStyle w:val="VerbatimChar"/>
        </w:rPr>
        <w:t xml:space="preserve">land = datamask == 1</w:t>
      </w:r>
      <w:r>
        <w:t xml:space="preserve">;</w:t>
      </w:r>
      <w:r>
        <w:t xml:space="preserve"> </w:t>
      </w:r>
      <w:r>
        <w:rPr>
          <w:rStyle w:val="VerbatimChar"/>
        </w:rPr>
        <w:t xml:space="preserve">loss_window = lossyear in {19, 20}</w:t>
      </w:r>
      <w:r>
        <w:t xml:space="preserve"> </w:t>
      </w:r>
      <w:r>
        <w:t xml:space="preserve">(calendar 2019 and 2020, which fall</w:t>
      </w:r>
      <w:r>
        <w:t xml:space="preserve"> </w:t>
      </w:r>
      <w:r>
        <w:t xml:space="preserve">between the two acquisitions);</w:t>
      </w:r>
      <w:r>
        <w:t xml:space="preserve"> </w:t>
      </w:r>
      <w:r>
        <w:rPr>
          <w:rStyle w:val="VerbatimChar"/>
        </w:rPr>
        <w:t xml:space="preserve">label = 1</w:t>
      </w:r>
      <w:r>
        <w:t xml:space="preserve"> </w:t>
      </w:r>
      <w:r>
        <w:t xml:space="preserve">where all three hold. This yields</w:t>
      </w:r>
      <w:r>
        <w:t xml:space="preserve"> </w:t>
      </w:r>
      <w:r>
        <w:rPr>
          <w:b/>
          <w:bCs/>
        </w:rPr>
        <w:t xml:space="preserve">23,736 positive pixels = 237.4 ha</w:t>
      </w:r>
      <w:r>
        <w:t xml:space="preserve"> </w:t>
      </w:r>
      <w:r>
        <w:t xml:space="preserve">of forest loss over the tile, a 0.37%</w:t>
      </w:r>
      <w:r>
        <w:t xml:space="preserve"> </w:t>
      </w:r>
      <w:r>
        <w:t xml:space="preserve">positive rate within forest2000.</w:t>
      </w:r>
    </w:p>
    <w:p>
      <w:pPr>
        <w:pStyle w:val="BodyText"/>
      </w:pPr>
      <w:r>
        <w:rPr>
          <w:b/>
          <w:bCs/>
        </w:rPr>
        <w:t xml:space="preserve">Patches and split.</w:t>
      </w:r>
      <w:r>
        <w:t xml:space="preserve"> </w:t>
      </w:r>
      <w:r>
        <w:t xml:space="preserve">110 non-overlapping 256 x 256 patches; a spatially</w:t>
      </w:r>
      <w:r>
        <w:t xml:space="preserve"> </w:t>
      </w:r>
      <w:r>
        <w:t xml:space="preserve">blocked 70/15/15 split (2x2-patch = 512 px super-blocks, seed 42) gives 76 / 16</w:t>
      </w:r>
      <w:r>
        <w:t xml:space="preserve"> </w:t>
      </w:r>
      <w:r>
        <w:t xml:space="preserve">/ 18 canonical patches. The train split is enlarged with stride-128 overlapping</w:t>
      </w:r>
      <w:r>
        <w:t xml:space="preserve"> </w:t>
      </w:r>
      <w:r>
        <w:t xml:space="preserve">crops,</w:t>
      </w:r>
      <w:r>
        <w:t xml:space="preserve"> </w:t>
      </w:r>
      <w:r>
        <w:rPr>
          <w:b/>
          <w:bCs/>
        </w:rPr>
        <w:t xml:space="preserve">but only crops whose entire 256 x 256 footprint lies inside</w:t>
      </w:r>
      <w:r>
        <w:rPr>
          <w:b/>
          <w:bCs/>
        </w:rPr>
        <w:t xml:space="preserve"> </w:t>
      </w:r>
      <w:r>
        <w:rPr>
          <w:b/>
          <w:bCs/>
        </w:rPr>
        <w:t xml:space="preserve">train-assigned blocks are kept</w:t>
      </w:r>
      <w:r>
        <w:t xml:space="preserve"> </w:t>
      </w:r>
      <w:r>
        <w:t xml:space="preserve">(see Section 5.6): 185 such crops, for 261</w:t>
      </w:r>
      <w:r>
        <w:t xml:space="preserve"> </w:t>
      </w:r>
      <w:r>
        <w:t xml:space="preserve">train patches. Validation and test stay as the canonical non-overlapping</w:t>
      </w:r>
      <w:r>
        <w:t xml:space="preserve"> </w:t>
      </w:r>
      <w:r>
        <w:t xml:space="preserve">patches, byte-identical before and after the audit. Per-band train statistics</w:t>
      </w:r>
      <w:r>
        <w:t xml:space="preserve"> </w:t>
      </w:r>
      <w:r>
        <w:t xml:space="preserve">(from the 76 canonical train patches) are available for optional z-scoring.</w:t>
      </w:r>
      <w:r>
        <w:t xml:space="preserve"> </w:t>
      </w:r>
      <w:r>
        <w:t xml:space="preserve">Class imbalance is severe by construction and is handled at training time.</w:t>
      </w:r>
    </w:p>
    <w:p>
      <w:r>
        <w:pict>
          <v:rect style="width:0;height:1.5pt" o:hralign="center" o:hrstd="t" o:hr="t"/>
        </w:pict>
      </w:r>
    </w:p>
    <w:bookmarkEnd w:id="12"/>
    <w:bookmarkStart w:id="16" w:name="methods"/>
    <w:p>
      <w:pPr>
        <w:pStyle w:val="Heading2"/>
      </w:pPr>
      <w:r>
        <w:t xml:space="preserve">4. Methods</w:t>
      </w:r>
    </w:p>
    <w:bookmarkStart w:id="13" w:name="segmentation"/>
    <w:p>
      <w:pPr>
        <w:pStyle w:val="Heading3"/>
      </w:pPr>
      <w:r>
        <w:t xml:space="preserve">4.1 Segmentation</w:t>
      </w:r>
    </w:p>
    <w:p>
      <w:pPr>
        <w:pStyle w:val="FirstParagraph"/>
      </w:pPr>
      <w:r>
        <w:t xml:space="preserve">The segmenter takes the 8-band stack and outputs a single-channel forest-loss</w:t>
      </w:r>
      <w:r>
        <w:t xml:space="preserve"> </w:t>
      </w:r>
      <w:r>
        <w:t xml:space="preserve">logit map; the T-vs-T+1 comparison is thus learned in one forward pass. The</w:t>
      </w:r>
      <w:r>
        <w:t xml:space="preserve"> </w:t>
      </w:r>
      <w:r>
        <w:rPr>
          <w:b/>
          <w:bCs/>
        </w:rPr>
        <w:t xml:space="preserve">pipeline model is a plain U-Net</w:t>
      </w:r>
      <w:r>
        <w:t xml:space="preserve"> </w:t>
      </w:r>
      <w:r>
        <w:t xml:space="preserve">(Ronneberger-style): double-conv blocks,</w:t>
      </w:r>
      <w:r>
        <w:t xml:space="preserve"> </w:t>
      </w:r>
      <w:r>
        <w:t xml:space="preserve">max-pool down, transpose-conv up, 4 skip levels,</w:t>
      </w:r>
      <w:r>
        <w:t xml:space="preserve"> </w:t>
      </w:r>
      <w:r>
        <w:rPr>
          <w:rStyle w:val="VerbatimChar"/>
        </w:rPr>
        <w:t xml:space="preserve">base_channels = 32</w:t>
      </w:r>
      <w:r>
        <w:t xml:space="preserve">, 7.76 M</w:t>
      </w:r>
      <w:r>
        <w:t xml:space="preserve"> </w:t>
      </w:r>
      <w:r>
        <w:t xml:space="preserve">parameters, no attention and no pretrained encoder. An</w:t>
      </w:r>
      <w:r>
        <w:t xml:space="preserve"> </w:t>
      </w:r>
      <w:r>
        <w:rPr>
          <w:b/>
          <w:bCs/>
        </w:rPr>
        <w:t xml:space="preserve">Attention U-Net with</w:t>
      </w:r>
      <w:r>
        <w:rPr>
          <w:b/>
          <w:bCs/>
        </w:rPr>
        <w:t xml:space="preserve"> </w:t>
      </w:r>
      <w:r>
        <w:rPr>
          <w:b/>
          <w:bCs/>
        </w:rPr>
        <w:t xml:space="preserve">an ImageNet-pretrained MobileNetV2 encoder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segmentation_models.pytorch</w:t>
      </w:r>
      <w:r>
        <w:t xml:space="preserve">,</w:t>
      </w:r>
      <w:r>
        <w:t xml:space="preserve"> </w:t>
      </w:r>
      <w:r>
        <w:t xml:space="preserve">adapted to 8 input channels; Oktay additive attention gate on every skip;</w:t>
      </w:r>
      <w:r>
        <w:t xml:space="preserve"> </w:t>
      </w:r>
      <w:r>
        <w:t xml:space="preserve">6.70 M parameters) was also trained under an identical schedule; it is retained</w:t>
      </w:r>
      <w:r>
        <w:t xml:space="preserve"> </w:t>
      </w:r>
      <w:r>
        <w:t xml:space="preserve">in the repository as a recorded negative result (Section 5.1) and is not used</w:t>
      </w:r>
      <w:r>
        <w:t xml:space="preserve"> </w:t>
      </w:r>
      <w:r>
        <w:t xml:space="preserve">downstream.</w:t>
      </w:r>
    </w:p>
    <w:p>
      <w:pPr>
        <w:pStyle w:val="BodyText"/>
      </w:pPr>
      <w:r>
        <w:rPr>
          <w:b/>
          <w:bCs/>
        </w:rPr>
        <w:t xml:space="preserve">Training protocol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configs/train_baseline.yaml</w:t>
      </w:r>
      <w:r>
        <w:t xml:space="preserve">; the attention config</w:t>
      </w:r>
      <w:r>
        <w:t xml:space="preserve"> </w:t>
      </w:r>
      <w:r>
        <w:t xml:space="preserve">differs only in the model block): Adam, lr 3e-4 cosine-annealed over an</w:t>
      </w:r>
      <w:r>
        <w:t xml:space="preserve"> </w:t>
      </w:r>
      <w:r>
        <w:t xml:space="preserve">80-epoch</w:t>
      </w:r>
      <w:r>
        <w:t xml:space="preserve"> </w:t>
      </w:r>
      <w:r>
        <w:rPr>
          <w:rStyle w:val="VerbatimChar"/>
        </w:rPr>
        <w:t xml:space="preserve">T_max</w:t>
      </w:r>
      <w:r>
        <w:t xml:space="preserve">, batch 8, mixed precision, gradient clip 1.0, loss =</w:t>
      </w:r>
      <w:r>
        <w:t xml:space="preserve"> </w:t>
      </w:r>
      <w:r>
        <w:t xml:space="preserve">soft-Dice + BCE with</w:t>
      </w:r>
      <w:r>
        <w:t xml:space="preserve"> </w:t>
      </w:r>
      <w:r>
        <w:rPr>
          <w:rStyle w:val="VerbatimChar"/>
        </w:rPr>
        <w:t xml:space="preserve">pos_weight = 40</w:t>
      </w:r>
      <w:r>
        <w:t xml:space="preserve">, all operations masked by the per-pixel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map.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 </w:t>
      </w:r>
      <w:r>
        <w:t xml:space="preserve">on validation Dice with patience 15 restores</w:t>
      </w:r>
      <w:r>
        <w:t xml:space="preserve"> </w:t>
      </w:r>
      <w:r>
        <w:t xml:space="preserve">the best checkpoint (Section 5.7 shows the best epoch lands early regardless of</w:t>
      </w:r>
      <w:r>
        <w:t xml:space="preserve"> </w:t>
      </w:r>
      <w:r>
        <w:t xml:space="preserve">schedule length). The operating threshold is then chosen on validation by</w:t>
      </w:r>
      <w:r>
        <w:t xml:space="preserve"> </w:t>
      </w:r>
      <w:r>
        <w:t xml:space="preserve">maximising Dice over a</w:t>
      </w:r>
      <w:r>
        <w:t xml:space="preserve"> </w:t>
      </w:r>
      <w:r>
        <w:rPr>
          <w:rStyle w:val="VerbatimChar"/>
        </w:rPr>
        <w:t xml:space="preserve">[0.10, 0.98]</w:t>
      </w:r>
      <w:r>
        <w:t xml:space="preserve"> </w:t>
      </w:r>
      <w:r>
        <w:t xml:space="preserve">sweep. Metrics are computed once on the</w:t>
      </w:r>
      <w:r>
        <w:t xml:space="preserve"> </w:t>
      </w:r>
      <w:r>
        <w:t xml:space="preserve">held-out test split. The U-Net is trained under</w:t>
      </w:r>
      <w:r>
        <w:t xml:space="preserve"> </w:t>
      </w:r>
      <w:r>
        <w:rPr>
          <w:b/>
          <w:bCs/>
        </w:rPr>
        <w:t xml:space="preserve">3 seeds (42, 43, 44)</w:t>
      </w:r>
      <w:r>
        <w:t xml:space="preserve">;</w:t>
      </w:r>
      <w:r>
        <w:t xml:space="preserve"> </w:t>
      </w:r>
      <w:r>
        <w:t xml:space="preserve">metrics are mean +/- sd across seeds, and the single checkpoint carried into</w:t>
      </w:r>
      <w:r>
        <w:t xml:space="preserve"> </w:t>
      </w:r>
      <w:r>
        <w:t xml:space="preserve">Sections 5.3-5.5 is the median-validation-Dice seed (Section 5.2).</w:t>
      </w:r>
    </w:p>
    <w:bookmarkEnd w:id="13"/>
    <w:bookmarkStart w:id="14" w:name="change-detection-and-area"/>
    <w:p>
      <w:pPr>
        <w:pStyle w:val="Heading3"/>
      </w:pPr>
      <w:r>
        <w:t xml:space="preserve">4.2 Change detection and area</w:t>
      </w:r>
    </w:p>
    <w:p>
      <w:pPr>
        <w:pStyle w:val="FirstParagraph"/>
      </w:pPr>
      <w:r>
        <w:t xml:space="preserve">The carry-forward model (Section 5.2) is run over the whole tile with</w:t>
      </w:r>
      <w:r>
        <w:t xml:space="preserve"> </w:t>
      </w:r>
      <w:r>
        <w:t xml:space="preserve">overlapping 256 px tiles</w:t>
      </w:r>
      <w:r>
        <w:t xml:space="preserve"> </w:t>
      </w:r>
      <w:r>
        <w:t xml:space="preserve">(stride 128, probabilities averaged), thresholded at the val-tuned value, and</w:t>
      </w:r>
      <w:r>
        <w:t xml:space="preserve"> </w:t>
      </w:r>
      <w:r>
        <w:t xml:space="preserve">masked to valid land. Pixel counts convert to hectares at 0.01 ha/pixel (10 m</w:t>
      </w:r>
      <w:r>
        <w:t xml:space="preserve"> </w:t>
      </w:r>
      <w:r>
        <w:t xml:space="preserve">GSD). Numbers are reported per split so the held-out figure is separable from</w:t>
      </w:r>
      <w:r>
        <w:t xml:space="preserve"> </w:t>
      </w:r>
      <w:r>
        <w:t xml:space="preserve">the (partly train-derived) full-region figure.</w:t>
      </w:r>
    </w:p>
    <w:bookmarkEnd w:id="14"/>
    <w:bookmarkStart w:id="15" w:name="carbon-estimation"/>
    <w:p>
      <w:pPr>
        <w:pStyle w:val="Heading3"/>
      </w:pPr>
      <w:r>
        <w:t xml:space="preserve">4.3 Carbon estimation</w:t>
      </w:r>
    </w:p>
    <w:p>
      <w:pPr>
        <w:pStyle w:val="FirstParagraph"/>
      </w:pPr>
      <w:r>
        <w:t xml:space="preserve">For each cleared pixel we take its</w:t>
      </w:r>
      <w:r>
        <w:t xml:space="preserve"> </w:t>
      </w:r>
      <w:r>
        <w:rPr>
          <w:b/>
          <w:bCs/>
        </w:rPr>
        <w:t xml:space="preserve">Year-T (pre-clearing) NDVI</w:t>
      </w:r>
      <w:r>
        <w:t xml:space="preserve"> </w:t>
      </w:r>
      <w:r>
        <w:t xml:space="preserve">= (NIR - red)</w:t>
      </w:r>
      <w:r>
        <w:t xml:space="preserve"> </w:t>
      </w:r>
      <w:r>
        <w:t xml:space="preserve">/ (NIR + red).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3-bin baseline (this study’s assumed scheme, not from an IPCC table):</w:t>
      </w:r>
      <w:r>
        <w:t xml:space="preserve"> </w:t>
      </w:r>
      <w:r>
        <w:t xml:space="preserve">NDVI &lt; 0.644 -&gt; 100 tC/ha; 0.644-0.734 -&gt; 150 tC/ha; &gt;= 0.734 -&gt; 200 tC/ha.</w:t>
      </w:r>
      <w:r>
        <w:t xml:space="preserve"> </w:t>
      </w:r>
      <w:r>
        <w:t xml:space="preserve">Cut points are the forest tercile boundaries of the Year-T composite.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Regression (contribution):</w:t>
      </w:r>
      <w:r>
        <w:t xml:space="preserve"> </w:t>
      </w:r>
      <w:r>
        <w:t xml:space="preserve">eight calibration anchors pair a published</w:t>
      </w:r>
      <w:r>
        <w:t xml:space="preserve"> </w:t>
      </w:r>
      <w:r>
        <w:t xml:space="preserve">Western Ghats aboveground carbon density (AGB x 0.47, IPCC 2006 default</w:t>
      </w:r>
      <w:r>
        <w:t xml:space="preserve"> </w:t>
      </w:r>
      <w:r>
        <w:t xml:space="preserve">carbon fraction; from Padmakumar et al. 2018 and Kothandaraman et al. 2020,</w:t>
      </w:r>
      <w:r>
        <w:t xml:space="preserve"> </w:t>
      </w:r>
      <w:r>
        <w:t xml:space="preserve">with Jose et al. 2025 as an unfitted cross-check) with the matching</w:t>
      </w:r>
      <w:r>
        <w:t xml:space="preserve"> </w:t>
      </w:r>
      <w:r>
        <w:t xml:space="preserve">forest-cover NDVI percentile of this study’s own Year-T composite. A linear</w:t>
      </w:r>
      <w:r>
        <w:t xml:space="preserve"> </w:t>
      </w:r>
      <w:r>
        <w:t xml:space="preserve">fit (</w:t>
      </w:r>
      <w:r>
        <w:rPr>
          <w:rStyle w:val="VerbatimChar"/>
        </w:rPr>
        <w:t xml:space="preserve">AGC = 874.1 * NDVI - 425.0</w:t>
      </w:r>
      <w:r>
        <w:t xml:space="preserve">, R2 0.77, clipped at 0) is reported as the</w:t>
      </w:r>
      <w:r>
        <w:t xml:space="preserve"> </w:t>
      </w:r>
      <w:r>
        <w:t xml:space="preserve">simplest variant; an</w:t>
      </w:r>
      <w:r>
        <w:t xml:space="preserve"> </w:t>
      </w:r>
      <w:r>
        <w:rPr>
          <w:b/>
          <w:bCs/>
        </w:rPr>
        <w:t xml:space="preserve">exponential fit</w:t>
      </w:r>
      <w:r>
        <w:t xml:space="preserve"> </w:t>
      </w:r>
      <w:r>
        <w:t xml:space="preserve">(</w:t>
      </w:r>
      <w:r>
        <w:rPr>
          <w:rStyle w:val="VerbatimChar"/>
        </w:rPr>
        <w:t xml:space="preserve">AGC = exp(6.366 * NDVI + 0.510)</w:t>
      </w:r>
      <w:r>
        <w:t xml:space="preserve">,</w:t>
      </w:r>
      <w:r>
        <w:t xml:space="preserve"> </w:t>
      </w:r>
      <w:r>
        <w:t xml:space="preserve">R2 0.95, monotone and non-negative) is the primary model. R2 describes curve</w:t>
      </w:r>
      <w:r>
        <w:t xml:space="preserve"> </w:t>
      </w:r>
      <w:r>
        <w:t xml:space="preserve">fit on eight anchors, not held-out accuracy. This is explicitly a</w:t>
      </w:r>
      <w:r>
        <w:t xml:space="preserve"> </w:t>
      </w:r>
      <w:r>
        <w:rPr>
          <w:i/>
          <w:iCs/>
        </w:rPr>
        <w:t xml:space="preserve">literature-calibrated</w:t>
      </w:r>
      <w:r>
        <w:t xml:space="preserve"> </w:t>
      </w:r>
      <w:r>
        <w:t xml:space="preserve">mapping, not a fit to co-located biomass. The</w:t>
      </w:r>
      <w:r>
        <w:t xml:space="preserve"> </w:t>
      </w:r>
      <w:r>
        <w:t xml:space="preserve">calibration is independent of the train/val/test split and was unchanged by</w:t>
      </w:r>
      <w:r>
        <w:t xml:space="preserve"> </w:t>
      </w:r>
      <w:r>
        <w:t xml:space="preserve">the audit.</w:t>
      </w:r>
    </w:p>
    <w:p>
      <w:pPr>
        <w:pStyle w:val="FirstParagraph"/>
      </w:pPr>
      <w:r>
        <w:t xml:space="preserve">Aboveground carbon density -&gt; tonnes C over the cleared area -&gt; tonnes CO2 (x</w:t>
      </w:r>
      <w:r>
        <w:t xml:space="preserve"> </w:t>
      </w:r>
      <w:r>
        <w:t xml:space="preserve">44/12). The accounting is aboveground-only, CO2-only, committed emission (full</w:t>
      </w:r>
      <w:r>
        <w:t xml:space="preserve"> </w:t>
      </w:r>
      <w:r>
        <w:t xml:space="preserve">release, no regrowth credit).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4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numbers are from the</w:t>
      </w:r>
      <w:r>
        <w:t xml:space="preserve"> </w:t>
      </w:r>
      <w:r>
        <w:rPr>
          <w:b/>
          <w:bCs/>
        </w:rPr>
        <w:t xml:space="preserve">leak-free split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early stopping</w:t>
      </w:r>
      <w:r>
        <w:t xml:space="preserve">, and are</w:t>
      </w:r>
      <w:r>
        <w:t xml:space="preserve"> </w:t>
      </w:r>
      <w:r>
        <w:rPr>
          <w:b/>
          <w:bCs/>
        </w:rPr>
        <w:t xml:space="preserve">mean +/- sd over 3 seeds</w:t>
      </w:r>
      <w:r>
        <w:t xml:space="preserve"> </w:t>
      </w:r>
      <w:r>
        <w:t xml:space="preserve">for the U-Net unless a single carry-forward</w:t>
      </w:r>
      <w:r>
        <w:t xml:space="preserve"> </w:t>
      </w:r>
      <w:r>
        <w:t xml:space="preserve">checkpoint is named. Section 5.6 gives the leakage audit and the pre-audit</w:t>
      </w:r>
      <w:r>
        <w:t xml:space="preserve"> </w:t>
      </w:r>
      <w:r>
        <w:t xml:space="preserve">before/after; Section 5.7 gives the seed-variance analysis.</w:t>
      </w:r>
    </w:p>
    <w:bookmarkStart w:id="17" w:name="X0fed8798e5210f34646351d5a4f73b5e80f323d"/>
    <w:p>
      <w:pPr>
        <w:pStyle w:val="Heading3"/>
      </w:pPr>
      <w:r>
        <w:t xml:space="preserve">5.1 Segmentation (held-out test split, 18 patches)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 (U-Net, 3 seeds)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7.76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IoU (strict, primary)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0.158 +/- 0.016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IoU (+/-3 px tolerance, secondary)</w:t>
            </w:r>
          </w:p>
        </w:tc>
        <w:tc>
          <w:tcPr/>
          <w:p>
            <w:pPr>
              <w:pStyle w:val="Compact"/>
            </w:pPr>
            <w:r>
              <w:t xml:space="preserve">0.248 +/- 0.018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Dice / F1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0.273 +/- 0.024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precision</w:t>
            </w:r>
          </w:p>
        </w:tc>
        <w:tc>
          <w:tcPr/>
          <w:p>
            <w:pPr>
              <w:pStyle w:val="Compact"/>
            </w:pPr>
            <w:r>
              <w:t xml:space="preserve">0.332 +/- 0.018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recall</w:t>
            </w:r>
          </w:p>
        </w:tc>
        <w:tc>
          <w:tcPr/>
          <w:p>
            <w:pPr>
              <w:pStyle w:val="Compact"/>
            </w:pPr>
            <w:r>
              <w:t xml:space="preserve">0.231 +/- 0.026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val Dice</w:t>
            </w:r>
          </w:p>
        </w:tc>
        <w:tc>
          <w:tcPr/>
          <w:p>
            <w:pPr>
              <w:pStyle w:val="Compact"/>
            </w:pPr>
            <w:r>
              <w:t xml:space="preserve">0.250 +/- 0.006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threshold (per seed)</w:t>
            </w:r>
          </w:p>
        </w:tc>
        <w:tc>
          <w:tcPr/>
          <w:p>
            <w:pPr>
              <w:pStyle w:val="Compact"/>
            </w:pPr>
            <w:r>
              <w:t xml:space="preserve">0.92 / 0.92 / 0.92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 epoch / best epoch (per seed)</w:t>
            </w:r>
          </w:p>
        </w:tc>
        <w:tc>
          <w:tcPr/>
          <w:p>
            <w:pPr>
              <w:pStyle w:val="Compact"/>
            </w:pPr>
            <w:r>
              <w:t xml:space="preserve">23/8, 22/7, 16/1</w:t>
            </w:r>
          </w:p>
        </w:tc>
      </w:tr>
    </w:tbl>
    <w:p>
      <w:pPr>
        <w:pStyle w:val="BodyText"/>
      </w:pPr>
      <w:r>
        <w:t xml:space="preserve">Pixel accuracy is ~0.99 and uninformative (99.6% of valid pixels are negative);</w:t>
      </w:r>
      <w:r>
        <w:t xml:space="preserve"> </w:t>
      </w:r>
      <w:r>
        <w:t xml:space="preserve">strict IoU and Dice are the operative metrics.</w:t>
      </w:r>
    </w:p>
    <w:p>
      <w:pPr>
        <w:pStyle w:val="BodyText"/>
      </w:pPr>
      <w:r>
        <w:t xml:space="preserve">An Attention U-Net with an ImageNet-pretrained MobileNetV2 encoder was also</w:t>
      </w:r>
      <w:r>
        <w:t xml:space="preserve"> </w:t>
      </w:r>
      <w:r>
        <w:t xml:space="preserve">trained under an identical schedule and did not improve on the plain U-Net</w:t>
      </w:r>
      <w:r>
        <w:t xml:space="preserve"> </w:t>
      </w:r>
      <w:r>
        <w:t xml:space="preserve">(strict test IoU 0.113 +/- 0.023 vs 0.158 +/- 0.016; Dice 0.203 +/- 0.038 vs</w:t>
      </w:r>
      <w:r>
        <w:t xml:space="preserve"> </w:t>
      </w:r>
      <w:r>
        <w:t xml:space="preserve">0.273 +/- 0.024, across 3 seeds); the plain U-Net is used throughout. Per-seed</w:t>
      </w:r>
      <w:r>
        <w:t xml:space="preserve"> </w:t>
      </w:r>
      <w:r>
        <w:t xml:space="preserve">results for both models are in</w:t>
      </w:r>
      <w:r>
        <w:t xml:space="preserve"> </w:t>
      </w:r>
      <w:r>
        <w:rPr>
          <w:rStyle w:val="VerbatimChar"/>
        </w:rPr>
        <w:t xml:space="preserve">results/metrics/seed_runs.json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Tolerance IoU</w:t>
      </w:r>
      <w:r>
        <w:t xml:space="preserve"> </w:t>
      </w:r>
      <w:r>
        <w:t xml:space="preserve">(secondary;</w:t>
      </w:r>
      <w:r>
        <w:t xml:space="preserve"> </w:t>
      </w:r>
      <w:r>
        <w:rPr>
          <w:rStyle w:val="VerbatimChar"/>
        </w:rPr>
        <w:t xml:space="preserve">src/eval/evaluate.py</w:t>
      </w:r>
      <w:r>
        <w:t xml:space="preserve">) counts the intersection</w:t>
      </w:r>
      <w:r>
        <w:t xml:space="preserve"> </w:t>
      </w:r>
      <w:r>
        <w:t xml:space="preserve">against the ground truth dilated by one 30 m Hansen GFC cell (a 7x7 square,</w:t>
      </w:r>
      <w:r>
        <w:t xml:space="preserve"> </w:t>
      </w:r>
      <w:r>
        <w:t xml:space="preserve">+/-3 px at the 10 m GSD) while keeping the strict undilated union, since GFC’s</w:t>
      </w:r>
      <w:r>
        <w:t xml:space="preserve"> </w:t>
      </w:r>
      <w:r>
        <w:t xml:space="preserve">30 m label boundary structurally penalises a prediction that is correct but</w:t>
      </w:r>
      <w:r>
        <w:t xml:space="preserve"> </w:t>
      </w:r>
      <w:r>
        <w:t xml:space="preserve">offset by less than a GFC cell. It raises the U-Net from 0.158 to 0.248. It</w:t>
      </w:r>
      <w:r>
        <w:t xml:space="preserve"> </w:t>
      </w:r>
      <w:r>
        <w:t xml:space="preserve">never replaces strict IoU.</w:t>
      </w:r>
    </w:p>
    <w:p>
      <w:pPr>
        <w:pStyle w:val="BodyText"/>
      </w:pPr>
      <w:r>
        <w:t xml:space="preserve">The U-Net does not show convincing learning: best validation Dice is reached at</w:t>
      </w:r>
      <w:r>
        <w:t xml:space="preserve"> </w:t>
      </w:r>
      <w:r>
        <w:t xml:space="preserve">epochs 1, 7 and 8 across the seeds and never improves after, while training loss</w:t>
      </w:r>
      <w:r>
        <w:t xml:space="preserve"> </w:t>
      </w:r>
      <w:r>
        <w:t xml:space="preserve">keeps falling - it overfits the 261-patch train set against a 16-patch</w:t>
      </w:r>
      <w:r>
        <w:t xml:space="preserve"> </w:t>
      </w:r>
      <w:r>
        <w:t xml:space="preserve">validation set (Section 5.7).</w:t>
      </w:r>
    </w:p>
    <w:p>
      <w:pPr>
        <w:pStyle w:val="BodyText"/>
      </w:pPr>
      <w:r>
        <w:t xml:space="preserve">Against John and Zhang (2022) (test IoU 0.90-0.95, F1 0.955-0.977), our IoU/F1</w:t>
      </w:r>
      <w:r>
        <w:t xml:space="preserve"> </w:t>
      </w:r>
      <w:r>
        <w:t xml:space="preserve">are far lower. This is expected and not a like-for-like failure: different task</w:t>
      </w:r>
      <w:r>
        <w:t xml:space="preserve"> </w:t>
      </w:r>
      <w:r>
        <w:t xml:space="preserve">(bi-temporal change vs single-image segmentation), ~0.3% vs abundant positive</w:t>
      </w:r>
      <w:r>
        <w:t xml:space="preserve"> </w:t>
      </w:r>
      <w:r>
        <w:t xml:space="preserve">prevalence, 30 m GFC labels vs hand-digitised polygons, and fragmented</w:t>
      </w:r>
      <w:r>
        <w:t xml:space="preserve"> </w:t>
      </w:r>
      <w:r>
        <w:t xml:space="preserve">smallholder loss vs Amazon clear-cutting.</w:t>
      </w:r>
    </w:p>
    <w:bookmarkEnd w:id="17"/>
    <w:bookmarkStart w:id="18" w:name="model-selection"/>
    <w:p>
      <w:pPr>
        <w:pStyle w:val="Heading3"/>
      </w:pPr>
      <w:r>
        <w:t xml:space="preserve">5.2 Model selection</w:t>
      </w:r>
    </w:p>
    <w:p>
      <w:pPr>
        <w:pStyle w:val="FirstParagraph"/>
      </w:pPr>
      <w:r>
        <w:t xml:space="preserve">The checkpoint carried into Sections 5.3-5.5 is chosen</w:t>
      </w:r>
      <w:r>
        <w:t xml:space="preserve"> </w:t>
      </w:r>
      <w:r>
        <w:rPr>
          <w:b/>
          <w:bCs/>
        </w:rPr>
        <w:t xml:space="preserve">on validation only</w:t>
      </w:r>
      <w:r>
        <w:t xml:space="preserve">:</w:t>
      </w:r>
      <w:r>
        <w:t xml:space="preserve"> </w:t>
      </w:r>
      <w:r>
        <w:t xml:space="preserve">the U-Net seed with</w:t>
      </w:r>
      <w:r>
        <w:t xml:space="preserve"> </w:t>
      </w:r>
      <w:r>
        <w:rPr>
          <w:b/>
          <w:bCs/>
        </w:rPr>
        <w:t xml:space="preserve">median best validation Dice</w:t>
      </w:r>
      <w:r>
        <w:t xml:space="preserve"> </w:t>
      </w:r>
      <w:r>
        <w:t xml:space="preserve">(seed 43, val Dice 0.252;</w:t>
      </w:r>
      <w:r>
        <w:t xml:space="preserve"> </w:t>
      </w:r>
      <w:r>
        <w:t xml:space="preserve">seeds 42/44 give 0.244/0.255). Test metrics are never used to select. Seed 43’s</w:t>
      </w:r>
      <w:r>
        <w:t xml:space="preserve"> </w:t>
      </w:r>
      <w:r>
        <w:t xml:space="preserve">own test scores (IoU 0.170, Dice 0.290) are reported here only for traceability,</w:t>
      </w:r>
      <w:r>
        <w:t xml:space="preserve"> </w:t>
      </w:r>
      <w:r>
        <w:t xml:space="preserve">not as a selection criterion. Both models’ full per-seed results are in</w:t>
      </w:r>
      <w:r>
        <w:t xml:space="preserve"> </w:t>
      </w:r>
      <w:r>
        <w:rPr>
          <w:rStyle w:val="VerbatimChar"/>
        </w:rPr>
        <w:t xml:space="preserve">results/metrics/seed_runs.json</w:t>
      </w:r>
      <w:r>
        <w:t xml:space="preserve"> </w:t>
      </w:r>
      <w:r>
        <w:t xml:space="preserve">and Section 5.1.</w:t>
      </w:r>
    </w:p>
    <w:bookmarkEnd w:id="18"/>
    <w:bookmarkStart w:id="19" w:name="X875d97e96fdc30a620173c0341e428c81f03d14"/>
    <w:p>
      <w:pPr>
        <w:pStyle w:val="Heading3"/>
      </w:pPr>
      <w:r>
        <w:t xml:space="preserve">5.3 Change detection and area (carry-forward U-Net, seed 43)</w:t>
      </w:r>
    </w:p>
    <w:p>
      <w:pPr>
        <w:pStyle w:val="FirstParagraph"/>
      </w:pPr>
      <w:r>
        <w:t xml:space="preserve">Per-region pixel IoU is reported strict (primary) and tolerance (+/-3 px GFC-</w:t>
      </w:r>
      <w:r>
        <w:t xml:space="preserve"> </w:t>
      </w:r>
      <w:r>
        <w:t xml:space="preserve">cell GT dilation, strict union - the same definition as Section 5.1).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GFC reference (ha)</w:t>
            </w:r>
          </w:p>
        </w:tc>
        <w:tc>
          <w:tcPr/>
          <w:p>
            <w:pPr>
              <w:pStyle w:val="Compact"/>
            </w:pPr>
            <w:r>
              <w:t xml:space="preserve">Predicted (ha)</w:t>
            </w:r>
          </w:p>
        </w:tc>
        <w:tc>
          <w:tcPr/>
          <w:p>
            <w:pPr>
              <w:pStyle w:val="Compact"/>
            </w:pPr>
            <w:r>
              <w:t xml:space="preserve">Pred / GFC</w:t>
            </w:r>
          </w:p>
        </w:tc>
        <w:tc>
          <w:tcPr/>
          <w:p>
            <w:pPr>
              <w:pStyle w:val="Compact"/>
            </w:pPr>
            <w:r>
              <w:t xml:space="preserve">strict IoU</w:t>
            </w:r>
          </w:p>
        </w:tc>
        <w:tc>
          <w:tcPr/>
          <w:p>
            <w:pPr>
              <w:pStyle w:val="Compact"/>
            </w:pPr>
            <w:r>
              <w:t xml:space="preserve">tol IoU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(held out)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0.169</w:t>
            </w:r>
          </w:p>
        </w:tc>
        <w:tc>
          <w:tcPr/>
          <w:p>
            <w:pPr>
              <w:pStyle w:val="Compact"/>
            </w:pPr>
            <w:r>
              <w:t xml:space="preserve">0.260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</w:t>
            </w:r>
          </w:p>
        </w:tc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131.7</w:t>
            </w:r>
          </w:p>
        </w:tc>
        <w:tc>
          <w:tcPr/>
          <w:p>
            <w:pPr>
              <w:pStyle w:val="Compact"/>
            </w:pPr>
            <w:r>
              <w:t xml:space="preserve">87.0</w:t>
            </w:r>
          </w:p>
        </w:tc>
        <w:tc>
          <w:tcPr/>
          <w:p>
            <w:pPr>
              <w:pStyle w:val="Compact"/>
            </w:pPr>
            <w:r>
              <w:t xml:space="preserve">0.66</w:t>
            </w:r>
          </w:p>
        </w:tc>
        <w:tc>
          <w:tcPr/>
          <w:p>
            <w:pPr>
              <w:pStyle w:val="Compact"/>
            </w:pPr>
            <w:r>
              <w:t xml:space="preserve">0.103</w:t>
            </w:r>
          </w:p>
        </w:tc>
        <w:tc>
          <w:tcPr/>
          <w:p>
            <w:pPr>
              <w:pStyle w:val="Compact"/>
            </w:pPr>
            <w:r>
              <w:t xml:space="preserve">0.175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region</w:t>
            </w:r>
          </w:p>
        </w:tc>
        <w:tc>
          <w:tcPr/>
          <w:p>
            <w:pPr>
              <w:pStyle w:val="Compact"/>
            </w:pPr>
            <w:r>
              <w:t xml:space="preserve">237.4</w:t>
            </w:r>
          </w:p>
        </w:tc>
        <w:tc>
          <w:tcPr/>
          <w:p>
            <w:pPr>
              <w:pStyle w:val="Compact"/>
            </w:pPr>
            <w:r>
              <w:t xml:space="preserve">165.7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</w:tr>
    </w:tbl>
    <w:p>
      <w:pPr>
        <w:pStyle w:val="BodyText"/>
      </w:pPr>
      <w:r>
        <w:t xml:space="preserve">On the held-out region the model</w:t>
      </w:r>
      <w:r>
        <w:t xml:space="preserve"> </w:t>
      </w:r>
      <w:r>
        <w:rPr>
          <w:b/>
          <w:bCs/>
        </w:rPr>
        <w:t xml:space="preserve">under-predicts area by ~27%</w:t>
      </w:r>
      <w:r>
        <w:t xml:space="preserve"> </w:t>
      </w:r>
      <w:r>
        <w:t xml:space="preserve">(37.3 ha vs</w:t>
      </w:r>
      <w:r>
        <w:t xml:space="preserve"> </w:t>
      </w:r>
      <w:r>
        <w:t xml:space="preserve">51.5 ha). The aggregate ratio (0.73) is closer to 1 than the pixel IoU (0.17</w:t>
      </w:r>
      <w:r>
        <w:t xml:space="preserve"> </w:t>
      </w:r>
      <w:r>
        <w:t xml:space="preserve">strict / 0.26 tolerance) would imply - false positives and negatives partly</w:t>
      </w:r>
      <w:r>
        <w:t xml:space="preserve"> </w:t>
      </w:r>
      <w:r>
        <w:t xml:space="preserve">cancel when summed - but it is a modest improvement, not a near-match, and the</w:t>
      </w:r>
      <w:r>
        <w:t xml:space="preserve"> </w:t>
      </w:r>
      <w:r>
        <w:t xml:space="preserve">under-prediction is</w:t>
      </w:r>
      <w:r>
        <w:t xml:space="preserve"> </w:t>
      </w:r>
      <w:r>
        <w:rPr>
          <w:b/>
          <w:bCs/>
        </w:rPr>
        <w:t xml:space="preserve">consistent across all four splits</w:t>
      </w:r>
      <w:r>
        <w:t xml:space="preserve"> </w:t>
      </w:r>
      <w:r>
        <w:t xml:space="preserve">(0.66-0.88), pointing</w:t>
      </w:r>
      <w:r>
        <w:t xml:space="preserve"> </w:t>
      </w:r>
      <w:r>
        <w:t xml:space="preserve">to a genuine recall deficit (the model at its operating threshold recovers ~25%</w:t>
      </w:r>
      <w:r>
        <w:t xml:space="preserve"> </w:t>
      </w:r>
      <w:r>
        <w:t xml:space="preserve">of loss pixels) rather than noise. A recall-oriented loss or a lower threshold</w:t>
      </w:r>
      <w:r>
        <w:t xml:space="preserve"> </w:t>
      </w:r>
      <w:r>
        <w:t xml:space="preserve">would trade precision to close it.</w:t>
      </w:r>
    </w:p>
    <w:bookmarkEnd w:id="19"/>
    <w:bookmarkStart w:id="20" w:name="X43a1a2907bc76ef3602b2a6ae6468f6bbf5c9d7"/>
    <w:p>
      <w:pPr>
        <w:pStyle w:val="Heading3"/>
      </w:pPr>
      <w:r>
        <w:t xml:space="preserve">5.4 Carbon and CO2 (carry-forward U-Net, seed 43)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Pixel set</w:t>
            </w:r>
          </w:p>
        </w:tc>
        <w:tc>
          <w:tcPr/>
          <w:p>
            <w:pPr>
              <w:pStyle w:val="Compact"/>
            </w:pPr>
            <w:r>
              <w:t xml:space="preserve">Area (ha)</w:t>
            </w:r>
          </w:p>
        </w:tc>
        <w:tc>
          <w:tcPr/>
          <w:p>
            <w:pPr>
              <w:pStyle w:val="Compact"/>
            </w:pPr>
            <w:r>
              <w:t xml:space="preserve">3-bin (t CO2)</w:t>
            </w:r>
          </w:p>
        </w:tc>
        <w:tc>
          <w:tcPr/>
          <w:p>
            <w:pPr>
              <w:pStyle w:val="Compact"/>
            </w:pPr>
            <w:r>
              <w:t xml:space="preserve">reg-linear (t CO2)</w:t>
            </w:r>
          </w:p>
        </w:tc>
        <w:tc>
          <w:tcPr/>
          <w:p>
            <w:pPr>
              <w:pStyle w:val="Compact"/>
            </w:pPr>
            <w:r>
              <w:t xml:space="preserve">reg-exp / primary (t CO2)</w:t>
            </w:r>
          </w:p>
        </w:tc>
        <w:tc>
          <w:tcPr/>
          <w:p>
            <w:pPr>
              <w:pStyle w:val="Compact"/>
            </w:pPr>
            <w:r>
              <w:t xml:space="preserve">mean AGC (tC/ha)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predicted, test region</w:t>
            </w:r>
          </w:p>
        </w:tc>
        <w:tc>
          <w:tcPr/>
          <w:p>
            <w:pPr>
              <w:pStyle w:val="Compact"/>
            </w:pPr>
            <w:r>
              <w:t xml:space="preserve">37.3</w:t>
            </w:r>
          </w:p>
        </w:tc>
        <w:tc>
          <w:tcPr/>
          <w:p>
            <w:pPr>
              <w:pStyle w:val="Compact"/>
            </w:pPr>
            <w:r>
              <w:t xml:space="preserve">19,938</w:t>
            </w:r>
          </w:p>
        </w:tc>
        <w:tc>
          <w:tcPr/>
          <w:p>
            <w:pPr>
              <w:pStyle w:val="Compact"/>
            </w:pPr>
            <w:r>
              <w:t xml:space="preserve">21,235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17,918</w:t>
            </w:r>
          </w:p>
        </w:tc>
        <w:tc>
          <w:tcPr/>
          <w:p>
            <w:pPr>
              <w:pStyle w:val="Compac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GFC reference, test region</w:t>
            </w:r>
          </w:p>
        </w:tc>
        <w:tc>
          <w:tcPr/>
          <w:p>
            <w:pPr>
              <w:pStyle w:val="Compact"/>
            </w:pPr>
            <w:r>
              <w:t xml:space="preserve">51.5</w:t>
            </w:r>
          </w:p>
        </w:tc>
        <w:tc>
          <w:tcPr/>
          <w:p>
            <w:pPr>
              <w:pStyle w:val="Compact"/>
            </w:pPr>
            <w:r>
              <w:t xml:space="preserve">25,819</w:t>
            </w:r>
          </w:p>
        </w:tc>
        <w:tc>
          <w:tcPr/>
          <w:p>
            <w:pPr>
              <w:pStyle w:val="Compact"/>
            </w:pPr>
            <w:r>
              <w:t xml:space="preserve">24,800</w:t>
            </w:r>
          </w:p>
        </w:tc>
        <w:tc>
          <w:tcPr/>
          <w:p>
            <w:pPr>
              <w:pStyle w:val="Compact"/>
            </w:pPr>
            <w:r>
              <w:t xml:space="preserve">21,507</w:t>
            </w:r>
          </w:p>
        </w:tc>
        <w:tc>
          <w:tcPr/>
          <w:p>
            <w:pPr>
              <w:pStyle w:val="Compact"/>
            </w:pPr>
            <w:r>
              <w:t xml:space="preserve">114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predicted, full region</w:t>
            </w:r>
          </w:p>
        </w:tc>
        <w:tc>
          <w:tcPr/>
          <w:p>
            <w:pPr>
              <w:pStyle w:val="Compact"/>
            </w:pPr>
            <w:r>
              <w:t xml:space="preserve">165.7</w:t>
            </w:r>
          </w:p>
        </w:tc>
        <w:tc>
          <w:tcPr/>
          <w:p>
            <w:pPr>
              <w:pStyle w:val="Compact"/>
            </w:pPr>
            <w:r>
              <w:t xml:space="preserve">89,314</w:t>
            </w:r>
          </w:p>
        </w:tc>
        <w:tc>
          <w:tcPr/>
          <w:p>
            <w:pPr>
              <w:pStyle w:val="Compact"/>
            </w:pPr>
            <w:r>
              <w:t xml:space="preserve">94,541</w:t>
            </w:r>
          </w:p>
        </w:tc>
        <w:tc>
          <w:tcPr/>
          <w:p>
            <w:pPr>
              <w:pStyle w:val="Compact"/>
            </w:pPr>
            <w:r>
              <w:t xml:space="preserve">82,261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GFC reference, full region</w:t>
            </w:r>
          </w:p>
        </w:tc>
        <w:tc>
          <w:tcPr/>
          <w:p>
            <w:pPr>
              <w:pStyle w:val="Compact"/>
            </w:pPr>
            <w:r>
              <w:t xml:space="preserve">237.4</w:t>
            </w:r>
          </w:p>
        </w:tc>
        <w:tc>
          <w:tcPr/>
          <w:p>
            <w:pPr>
              <w:pStyle w:val="Compact"/>
            </w:pPr>
            <w:r>
              <w:t xml:space="preserve">116,699</w:t>
            </w:r>
          </w:p>
        </w:tc>
        <w:tc>
          <w:tcPr/>
          <w:p>
            <w:pPr>
              <w:pStyle w:val="Compact"/>
            </w:pPr>
            <w:r>
              <w:t xml:space="preserve">104,726</w:t>
            </w:r>
          </w:p>
        </w:tc>
        <w:tc>
          <w:tcPr/>
          <w:p>
            <w:pPr>
              <w:pStyle w:val="Compact"/>
            </w:pPr>
            <w:r>
              <w:t xml:space="preserve">94,273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</w:tr>
    </w:tbl>
    <w:p>
      <w:pPr>
        <w:pStyle w:val="BodyText"/>
      </w:pPr>
      <w:r>
        <w:rPr>
          <w:b/>
          <w:bCs/>
        </w:rPr>
        <w:t xml:space="preserve">Held-out headline:</w:t>
      </w:r>
      <w:r>
        <w:t xml:space="preserve"> </w:t>
      </w:r>
      <w:r>
        <w:t xml:space="preserve">37.3 ha of predicted new loss -&gt;</w:t>
      </w:r>
      <w:r>
        <w:t xml:space="preserve"> </w:t>
      </w:r>
      <w:r>
        <w:rPr>
          <w:b/>
          <w:bCs/>
        </w:rPr>
        <w:t xml:space="preserve">~17,900 t CO2</w:t>
      </w:r>
      <w:r>
        <w:t xml:space="preserve"> </w:t>
      </w:r>
      <w:r>
        <w:t xml:space="preserve">(primary regression), i.e. </w:t>
      </w:r>
      <w:r>
        <w:rPr>
          <w:b/>
          <w:bCs/>
        </w:rPr>
        <w:t xml:space="preserve">0.83x</w:t>
      </w:r>
      <w:r>
        <w:t xml:space="preserve"> </w:t>
      </w:r>
      <w:r>
        <w:t xml:space="preserve">the ~21,500 t CO2 on the GFC reference</w:t>
      </w:r>
      <w:r>
        <w:t xml:space="preserve"> </w:t>
      </w:r>
      <w:r>
        <w:t xml:space="preserve">area for the same region. The CO2 ratio (0.83) is less extreme than the area</w:t>
      </w:r>
      <w:r>
        <w:t xml:space="preserve"> </w:t>
      </w:r>
      <w:r>
        <w:t xml:space="preserve">ratio (0.73) because the model under-counts</w:t>
      </w:r>
      <w:r>
        <w:t xml:space="preserve"> </w:t>
      </w:r>
      <w:r>
        <w:rPr>
          <w:i/>
          <w:iCs/>
        </w:rPr>
        <w:t xml:space="preserve">area</w:t>
      </w:r>
      <w:r>
        <w:t xml:space="preserve"> </w:t>
      </w:r>
      <w:r>
        <w:t xml:space="preserve">but over-counts</w:t>
      </w:r>
      <w:r>
        <w:t xml:space="preserve"> </w:t>
      </w:r>
      <w:r>
        <w:rPr>
          <w:i/>
          <w:iCs/>
        </w:rPr>
        <w:t xml:space="preserve">mean carbon</w:t>
      </w:r>
      <w:r>
        <w:rPr>
          <w:i/>
          <w:iCs/>
        </w:rPr>
        <w:t xml:space="preserve"> </w:t>
      </w:r>
      <w:r>
        <w:rPr>
          <w:i/>
          <w:iCs/>
        </w:rPr>
        <w:t xml:space="preserve">density</w:t>
      </w:r>
      <w:r>
        <w:t xml:space="preserve"> </w:t>
      </w:r>
      <w:r>
        <w:t xml:space="preserve">(131 vs 114 tC/ha - it preferentially flags denser, higher-NDVI</w:t>
      </w:r>
      <w:r>
        <w:t xml:space="preserve"> </w:t>
      </w:r>
      <w:r>
        <w:t xml:space="preserve">forest), so the two biases partly offset. Neither the area nor the CO2 total is</w:t>
      </w:r>
      <w:r>
        <w:t xml:space="preserve"> </w:t>
      </w:r>
      <w:r>
        <w:t xml:space="preserve">independent evidence of accuracy.</w:t>
      </w:r>
    </w:p>
    <w:p>
      <w:pPr>
        <w:pStyle w:val="BodyText"/>
      </w:pPr>
      <w:r>
        <w:t xml:space="preserve">The robust, model-free comparison is</w:t>
      </w:r>
      <w:r>
        <w:t xml:space="preserve"> </w:t>
      </w:r>
      <w:r>
        <w:rPr>
          <w:b/>
          <w:bCs/>
        </w:rPr>
        <w:t xml:space="preserve">3-bin vs regression on the same pixel</w:t>
      </w:r>
      <w:r>
        <w:rPr>
          <w:b/>
          <w:bCs/>
        </w:rPr>
        <w:t xml:space="preserve"> </w:t>
      </w:r>
      <w:r>
        <w:rPr>
          <w:b/>
          <w:bCs/>
        </w:rPr>
        <w:t xml:space="preserve">set</w:t>
      </w:r>
      <w:r>
        <w:t xml:space="preserve">: on the GFC reference area the exponential regression gives 94,273 t CO2</w:t>
      </w:r>
      <w:r>
        <w:t xml:space="preserve"> </w:t>
      </w:r>
      <w:r>
        <w:t xml:space="preserve">versus 116,699 t from the 3-bin scheme (</w:t>
      </w:r>
      <w:r>
        <w:rPr>
          <w:b/>
          <w:bCs/>
        </w:rPr>
        <w:t xml:space="preserve">~19% lower</w:t>
      </w:r>
      <w:r>
        <w:t xml:space="preserve">), because most cleared</w:t>
      </w:r>
      <w:r>
        <w:t xml:space="preserve"> </w:t>
      </w:r>
      <w:r>
        <w:t xml:space="preserve">pixels have moderate NDVI and the flat 150 tC/ha</w:t>
      </w:r>
      <w:r>
        <w:t xml:space="preserve"> </w:t>
      </w:r>
      <w:r>
        <w:t xml:space="preserve">“moderate”</w:t>
      </w:r>
      <w:r>
        <w:t xml:space="preserve"> </w:t>
      </w:r>
      <w:r>
        <w:t xml:space="preserve">constant</w:t>
      </w:r>
      <w:r>
        <w:t xml:space="preserve"> </w:t>
      </w:r>
      <w:r>
        <w:t xml:space="preserve">over-credits them. This is the carbon-step contribution and does not depend on</w:t>
      </w:r>
      <w:r>
        <w:t xml:space="preserve"> </w:t>
      </w:r>
      <w:r>
        <w:t xml:space="preserve">the segmentation model or the seed.</w:t>
      </w:r>
    </w:p>
    <w:bookmarkEnd w:id="20"/>
    <w:bookmarkStart w:id="21" w:name="X51b471a706815a727e187b97b039837b95dab89"/>
    <w:p>
      <w:pPr>
        <w:pStyle w:val="Heading3"/>
      </w:pPr>
      <w:r>
        <w:t xml:space="preserve">5.5 CO2 plausibility check (Global Forest Watch, Wayanad district)</w:t>
      </w:r>
    </w:p>
    <w:p>
      <w:pPr>
        <w:pStyle w:val="FirstParagraph"/>
      </w:pPr>
      <w:r>
        <w:t xml:space="preserve">GFW reports 3.82 kha of tree-cover loss and 2.54 Mt CO2e for Wayanad district</w:t>
      </w:r>
      <w:r>
        <w:t xml:space="preserve"> </w:t>
      </w:r>
      <w:r>
        <w:t xml:space="preserve">(2001-2023, 30% canopy, all pools, all gases; Harris et al. 2021) -&gt; an</w:t>
      </w:r>
      <w:r>
        <w:t xml:space="preserve"> </w:t>
      </w:r>
      <w:r>
        <w:t xml:space="preserve">implied committed emission factor of</w:t>
      </w:r>
      <w:r>
        <w:t xml:space="preserve"> </w:t>
      </w:r>
      <w:r>
        <w:rPr>
          <w:b/>
          <w:bCs/>
        </w:rPr>
        <w:t xml:space="preserve">~665 t CO2e/ha</w:t>
      </w:r>
      <w:r>
        <w:t xml:space="preserve"> </w:t>
      </w:r>
      <w:r>
        <w:t xml:space="preserve">and ~166 ha/yr of loss</w:t>
      </w:r>
      <w:r>
        <w:t xml:space="preserve"> </w:t>
      </w:r>
      <w:r>
        <w:t xml:space="preserve">district-wide. This study’s 848 km2 tile shows ~119 ha/yr (GFC) / ~83 ha/yr</w:t>
      </w:r>
      <w:r>
        <w:t xml:space="preserve"> </w:t>
      </w:r>
      <w:r>
        <w:t xml:space="preserve">(predicted) - the tile is ~40% of the district area but carries ~70% of its</w:t>
      </w:r>
      <w:r>
        <w:t xml:space="preserve"> </w:t>
      </w:r>
      <w:r>
        <w:t xml:space="preserve">GFC loss, being centred on the loss-active plateau.</w:t>
      </w:r>
    </w:p>
    <w:p>
      <w:pPr>
        <w:pStyle w:val="Compact"/>
        <w:numPr>
          <w:ilvl w:val="0"/>
          <w:numId w:val="100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GFC reference area</w:t>
      </w:r>
      <w:r>
        <w:t xml:space="preserve">, this pipeline’s factor is 94,273 t CO2 /</w:t>
      </w:r>
      <w:r>
        <w:t xml:space="preserve"> </w:t>
      </w:r>
      <w:r>
        <w:t xml:space="preserve">237.4 ha =</w:t>
      </w:r>
      <w:r>
        <w:t xml:space="preserve"> </w:t>
      </w:r>
      <w:r>
        <w:rPr>
          <w:b/>
          <w:bCs/>
        </w:rPr>
        <w:t xml:space="preserve">~397 t CO2/ha</w:t>
      </w:r>
      <w:r>
        <w:t xml:space="preserve">, i.e. </w:t>
      </w:r>
      <w:r>
        <w:rPr>
          <w:b/>
          <w:bCs/>
        </w:rPr>
        <w:t xml:space="preserve">~60% of GFW’s ~665 t CO2e/ha</w:t>
      </w:r>
      <w:r>
        <w:t xml:space="preserve"> </w:t>
      </w:r>
      <w:r>
        <w:t xml:space="preserve">- the</w:t>
      </w:r>
      <w:r>
        <w:t xml:space="preserve"> </w:t>
      </w:r>
      <w:r>
        <w:t xml:space="preserve">expected fraction for an aboveground-only, CO2-only accounting once GFW’s</w:t>
      </w:r>
      <w:r>
        <w:t xml:space="preserve"> </w:t>
      </w:r>
      <w:r>
        <w:t xml:space="preserve">soil, belowground and non-CO2 pools are set aside. This figure depends only</w:t>
      </w:r>
      <w:r>
        <w:t xml:space="preserve"> </w:t>
      </w:r>
      <w:r>
        <w:t xml:space="preserve">on GFC and the regression - not the model, the seed or the leakage fix.</w:t>
      </w:r>
    </w:p>
    <w:p>
      <w:pPr>
        <w:pStyle w:val="Compact"/>
        <w:numPr>
          <w:ilvl w:val="0"/>
          <w:numId w:val="1003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model-predicted area</w:t>
      </w:r>
      <w:r>
        <w:t xml:space="preserve"> </w:t>
      </w:r>
      <w:r>
        <w:t xml:space="preserve">the factor is 82,261 / 165.7 = ~496 t CO2/ha,</w:t>
      </w:r>
      <w:r>
        <w:t xml:space="preserve"> </w:t>
      </w:r>
      <w:r>
        <w:t xml:space="preserve">elevated by the model’s density bias (Section 5.4).</w:t>
      </w:r>
    </w:p>
    <w:bookmarkEnd w:id="21"/>
    <w:bookmarkStart w:id="22" w:name="data-leakage-audit-and-correction"/>
    <w:p>
      <w:pPr>
        <w:pStyle w:val="Heading3"/>
      </w:pPr>
      <w:r>
        <w:t xml:space="preserve">5.6 Data-leakage audit and correction</w:t>
      </w:r>
    </w:p>
    <w:p>
      <w:pPr>
        <w:pStyle w:val="FirstParagraph"/>
      </w:pPr>
      <w:r>
        <w:rPr>
          <w:b/>
          <w:bCs/>
        </w:rPr>
        <w:t xml:space="preserve">Finding.</w:t>
      </w:r>
      <w:r>
        <w:t xml:space="preserve"> </w:t>
      </w:r>
      <w:r>
        <w:t xml:space="preserve">After the first full run, an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scripts/verify_no_leakage.py</w:t>
      </w:r>
      <w:r>
        <w:t xml:space="preserve">) checked every validation and test patch’s</w:t>
      </w:r>
      <w:r>
        <w:t xml:space="preserve"> </w:t>
      </w:r>
      <w:r>
        <w:t xml:space="preserve">pixel extent against every train patch’s extent. The train split’s stride-128</w:t>
      </w:r>
      <w:r>
        <w:t xml:space="preserve"> </w:t>
      </w:r>
      <w:r>
        <w:t xml:space="preserve">overlapping crops are 256 px wide but were placed on a 128 px stride and</w:t>
      </w:r>
      <w:r>
        <w:t xml:space="preserve"> </w:t>
      </w:r>
      <w:r>
        <w:t xml:space="preserve">assigned to</w:t>
      </w:r>
      <w:r>
        <w:t xml:space="preserve"> </w:t>
      </w:r>
      <w:r>
        <w:t xml:space="preserve">“train”</w:t>
      </w:r>
      <w:r>
        <w:t xml:space="preserve"> </w:t>
      </w:r>
      <w:r>
        <w:t xml:space="preserve">using only the super-block containing each crop’s top-left</w:t>
      </w:r>
      <w:r>
        <w:t xml:space="preserve"> </w:t>
      </w:r>
      <w:r>
        <w:t xml:space="preserve">corner. Crops starting at a 128 px offset from a 512 px block boundary</w:t>
      </w:r>
      <w:r>
        <w:t xml:space="preserve"> </w:t>
      </w:r>
      <w:r>
        <w:t xml:space="preserve">therefore extended into the neighbouring block; when that neighbour was a</w:t>
      </w:r>
      <w:r>
        <w:t xml:space="preserve"> </w:t>
      </w:r>
      <w:r>
        <w:t xml:space="preserve">validation or test block, 128 px strips of held-out territory were used as</w:t>
      </w:r>
      <w:r>
        <w:t xml:space="preserve"> </w:t>
      </w:r>
      <w:r>
        <w:t xml:space="preserve">training data.</w:t>
      </w:r>
      <w:r>
        <w:t xml:space="preserve"> </w:t>
      </w:r>
      <w:r>
        <w:rPr>
          <w:b/>
          <w:bCs/>
        </w:rPr>
        <w:t xml:space="preserve">8 of 16 validation patches and 9 of 18 test patches were</w:t>
      </w:r>
      <w:r>
        <w:rPr>
          <w:b/>
          <w:bCs/>
        </w:rPr>
        <w:t xml:space="preserve"> </w:t>
      </w:r>
      <w:r>
        <w:rPr>
          <w:b/>
          <w:bCs/>
        </w:rPr>
        <w:t xml:space="preserve">affected, each with 50-75% of its area also present in training.</w:t>
      </w:r>
      <w:r>
        <w:t xml:space="preserve"> </w:t>
      </w:r>
      <w:r>
        <w:t xml:space="preserve">No canonical</w:t>
      </w:r>
      <w:r>
        <w:t xml:space="preserve"> </w:t>
      </w:r>
      <w:r>
        <w:t xml:space="preserve">patch was involved; the leak was entirely from the overlap crops.</w:t>
      </w:r>
    </w:p>
    <w:p>
      <w:pPr>
        <w:pStyle w:val="BodyText"/>
      </w:pPr>
      <w:r>
        <w:rPr>
          <w:b/>
          <w:bCs/>
        </w:rPr>
        <w:t xml:space="preserve">Fix.</w:t>
      </w:r>
      <w:r>
        <w:t xml:space="preserve"> </w:t>
      </w:r>
      <w:r>
        <w:rPr>
          <w:rStyle w:val="VerbatimChar"/>
        </w:rPr>
        <w:t xml:space="preserve">build_dataset.py</w:t>
      </w:r>
      <w:r>
        <w:t xml:space="preserve"> </w:t>
      </w:r>
      <w:r>
        <w:t xml:space="preserve">now keeps an overlap crop only if its</w:t>
      </w:r>
      <w:r>
        <w:t xml:space="preserve"> </w:t>
      </w:r>
      <w:r>
        <w:rPr>
          <w:b/>
          <w:bCs/>
        </w:rPr>
        <w:t xml:space="preserve">entire</w:t>
      </w:r>
      <w:r>
        <w:t xml:space="preserve"> </w:t>
      </w:r>
      <w:r>
        <w:t xml:space="preserve">256 x 256 footprint lies inside train-assigned blocks; any crop touching a</w:t>
      </w:r>
      <w:r>
        <w:t xml:space="preserve"> </w:t>
      </w:r>
      <w:r>
        <w:t xml:space="preserve">val/test block is dropped, not reassigned. The canonical grid, the</w:t>
      </w:r>
      <w:r>
        <w:t xml:space="preserve"> </w:t>
      </w:r>
      <w:r>
        <w:t xml:space="preserve">block-to-split assignment, the norm statistics and the val/test patches are</w:t>
      </w:r>
      <w:r>
        <w:t xml:space="preserve"> </w:t>
      </w:r>
      <w:r>
        <w:t xml:space="preserve">byte-identical before and after (verified by hash). Overlap crops fell from 228</w:t>
      </w:r>
      <w:r>
        <w:t xml:space="preserve"> </w:t>
      </w:r>
      <w:r>
        <w:t xml:space="preserve">to 185 (train patches 304 -&gt; 261). The audit script now exits 0.</w:t>
      </w:r>
    </w:p>
    <w:p>
      <w:pPr>
        <w:pStyle w:val="BodyText"/>
      </w:pPr>
      <w:r>
        <w:rPr>
          <w:b/>
          <w:bCs/>
        </w:rPr>
        <w:t xml:space="preserve">Before / after (held-out test split).</w:t>
      </w:r>
      <w:r>
        <w:t xml:space="preserve"> </w:t>
      </w:r>
      <w:r>
        <w:t xml:space="preserve">The pre-audit column is a single</w:t>
      </w:r>
      <w:r>
        <w:t xml:space="preserve"> </w:t>
      </w:r>
      <w:r>
        <w:t xml:space="preserve">80-epoch run on the leaked split; the post-audit column is the 3-seed mean +/-</w:t>
      </w:r>
      <w:r>
        <w:t xml:space="preserve"> </w:t>
      </w:r>
      <w:r>
        <w:t xml:space="preserve">sd (segmentation) and the seed-43 carry-forward checkpoint (area / CO2).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Pre-audit (leaked, 1 run)</w:t>
            </w:r>
          </w:p>
        </w:tc>
        <w:tc>
          <w:tcPr/>
          <w:p>
            <w:pPr>
              <w:pStyle w:val="Compact"/>
            </w:pPr>
            <w:r>
              <w:t xml:space="preserve">Post-audit (clean, 3 seeds / seed 43)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 patches</w:t>
            </w:r>
          </w:p>
        </w:tc>
        <w:tc>
          <w:tcPr/>
          <w:p>
            <w:pPr>
              <w:pStyle w:val="Compact"/>
            </w:pPr>
            <w:r>
              <w:t xml:space="preserve">304 (76 + 228 overlap)</w:t>
            </w:r>
          </w:p>
        </w:tc>
        <w:tc>
          <w:tcPr/>
          <w:p>
            <w:pPr>
              <w:pStyle w:val="Compact"/>
            </w:pPr>
            <w:r>
              <w:t xml:space="preserve">261 (76 + 185 overlap)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Val/test patches with train pixels</w:t>
            </w:r>
          </w:p>
        </w:tc>
        <w:tc>
          <w:tcPr/>
          <w:p>
            <w:pPr>
              <w:pStyle w:val="Compact"/>
            </w:pPr>
            <w:r>
              <w:t xml:space="preserve">8/16 val, 9/18 test</w:t>
            </w:r>
          </w:p>
        </w:tc>
        <w:tc>
          <w:tcPr/>
          <w:p>
            <w:pPr>
              <w:pStyle w:val="Compact"/>
            </w:pPr>
            <w:r>
              <w:t xml:space="preserve">0/16, 0/18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best val Dice</w:t>
            </w:r>
          </w:p>
        </w:tc>
        <w:tc>
          <w:tcPr/>
          <w:p>
            <w:pPr>
              <w:pStyle w:val="Compact"/>
            </w:pPr>
            <w:r>
              <w:t xml:space="preserve">0.317</w:t>
            </w:r>
          </w:p>
        </w:tc>
        <w:tc>
          <w:tcPr/>
          <w:p>
            <w:pPr>
              <w:pStyle w:val="Compact"/>
            </w:pPr>
            <w:r>
              <w:t xml:space="preserve">0.250 +/- 0.006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Attn U-Net best val Dice</w:t>
            </w:r>
          </w:p>
        </w:tc>
        <w:tc>
          <w:tcPr/>
          <w:p>
            <w:pPr>
              <w:pStyle w:val="Compact"/>
            </w:pPr>
            <w:r>
              <w:t xml:space="preserve">0.323</w:t>
            </w:r>
          </w:p>
        </w:tc>
        <w:tc>
          <w:tcPr/>
          <w:p>
            <w:pPr>
              <w:pStyle w:val="Compact"/>
            </w:pPr>
            <w:r>
              <w:t xml:space="preserve">0.237 +/- 0.009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test IoU (strict) / Dice</w:t>
            </w:r>
          </w:p>
        </w:tc>
        <w:tc>
          <w:tcPr/>
          <w:p>
            <w:pPr>
              <w:pStyle w:val="Compact"/>
            </w:pPr>
            <w:r>
              <w:t xml:space="preserve">0.196 / 0.327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0.158 +/- 0.016 / 0.273 +/- 0.024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 test IoU (+/-3 px tolerance)</w:t>
            </w:r>
          </w:p>
        </w:tc>
        <w:tc>
          <w:tcPr/>
          <w:p>
            <w:pPr>
              <w:pStyle w:val="Compact"/>
            </w:pPr>
            <w:r>
              <w:t xml:space="preserve">not computed</w:t>
            </w:r>
          </w:p>
        </w:tc>
        <w:tc>
          <w:tcPr/>
          <w:p>
            <w:pPr>
              <w:pStyle w:val="Compact"/>
            </w:pPr>
            <w:r>
              <w:t xml:space="preserve">0.248 +/- 0.018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Attn U-Net test IoU (strict) / Dice (recorded)</w:t>
            </w:r>
          </w:p>
        </w:tc>
        <w:tc>
          <w:tcPr/>
          <w:p>
            <w:pPr>
              <w:pStyle w:val="Compact"/>
            </w:pPr>
            <w:r>
              <w:t xml:space="preserve">0.168 / 0.287</w:t>
            </w:r>
          </w:p>
        </w:tc>
        <w:tc>
          <w:tcPr/>
          <w:p>
            <w:pPr>
              <w:pStyle w:val="Compact"/>
            </w:pPr>
            <w:r>
              <w:t xml:space="preserve">0.113 +/- 0.023 / 0.203 +/- 0.038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test area vs GFC</w:t>
            </w:r>
          </w:p>
        </w:tc>
        <w:tc>
          <w:tcPr/>
          <w:p>
            <w:pPr>
              <w:pStyle w:val="Compact"/>
            </w:pPr>
            <w:r>
              <w:t xml:space="preserve">49.9 ha (0.97x)</w:t>
            </w:r>
          </w:p>
        </w:tc>
        <w:tc>
          <w:tcPr/>
          <w:p>
            <w:pPr>
              <w:pStyle w:val="Compact"/>
            </w:pPr>
            <w:r>
              <w:t xml:space="preserve">37.3 ha (0.73x)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full-region area vs GFC</w:t>
            </w:r>
          </w:p>
        </w:tc>
        <w:tc>
          <w:tcPr/>
          <w:p>
            <w:pPr>
              <w:pStyle w:val="Compact"/>
            </w:pPr>
            <w:r>
              <w:t xml:space="preserve">279.8 ha (1.18x)</w:t>
            </w:r>
          </w:p>
        </w:tc>
        <w:tc>
          <w:tcPr/>
          <w:p>
            <w:pPr>
              <w:pStyle w:val="Compact"/>
            </w:pPr>
            <w:r>
              <w:t xml:space="preserve">165.7 ha (0.70x)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test CO2 (primary reg.)</w:t>
            </w:r>
          </w:p>
        </w:tc>
        <w:tc>
          <w:tcPr/>
          <w:p>
            <w:pPr>
              <w:pStyle w:val="Compact"/>
            </w:pPr>
            <w:r>
              <w:t xml:space="preserve">19,756 t</w:t>
            </w:r>
          </w:p>
        </w:tc>
        <w:tc>
          <w:tcPr/>
          <w:p>
            <w:pPr>
              <w:pStyle w:val="Compact"/>
            </w:pPr>
            <w:r>
              <w:t xml:space="preserve">17,918 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GFC-reference-area CO2 (primary reg.)</w:t>
            </w:r>
          </w:p>
        </w:tc>
        <w:tc>
          <w:tcPr/>
          <w:p>
            <w:pPr>
              <w:pStyle w:val="Compact"/>
            </w:pPr>
            <w:r>
              <w:t xml:space="preserve">21,507 t</w:t>
            </w:r>
          </w:p>
        </w:tc>
        <w:tc>
          <w:tcPr/>
          <w:p>
            <w:pPr>
              <w:pStyle w:val="Compact"/>
            </w:pPr>
            <w:r>
              <w:t xml:space="preserve">21,507 t (unchanged)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emission factor on GFC area</w:t>
            </w:r>
          </w:p>
        </w:tc>
        <w:tc>
          <w:tcPr/>
          <w:p>
            <w:pPr>
              <w:pStyle w:val="Compact"/>
            </w:pPr>
            <w:r>
              <w:t xml:space="preserve">~397 t CO2/ha (~60% of GFW)</w:t>
            </w:r>
          </w:p>
        </w:tc>
        <w:tc>
          <w:tcPr/>
          <w:p>
            <w:pPr>
              <w:pStyle w:val="Compact"/>
            </w:pPr>
            <w:r>
              <w:t xml:space="preserve">~397 t CO2/ha (~60% of GFW)</w:t>
            </w:r>
          </w:p>
        </w:tc>
      </w:tr>
    </w:tbl>
    <w:p>
      <w:pPr>
        <w:pStyle w:val="BodyText"/>
      </w:pPr>
      <w:r>
        <w:t xml:space="preserve">The leak had inflated validation Dice (partly memorised pixels) and made the</w:t>
      </w:r>
      <w:r>
        <w:t xml:space="preserve"> </w:t>
      </w:r>
      <w:r>
        <w:t xml:space="preserve">area estimate look like a near-match when it is really a ~25-30%</w:t>
      </w:r>
      <w:r>
        <w:t xml:space="preserve"> </w:t>
      </w:r>
      <w:r>
        <w:t xml:space="preserve">under-prediction. The GFC-referenced carbon numbers and the</w:t>
      </w:r>
      <w:r>
        <w:t xml:space="preserve"> </w:t>
      </w:r>
      <w:r>
        <w:t xml:space="preserve">3-bin-vs-regression comparison are unaffected because they never depended on</w:t>
      </w:r>
      <w:r>
        <w:t xml:space="preserve"> </w:t>
      </w:r>
      <w:r>
        <w:t xml:space="preserve">the model.</w:t>
      </w:r>
    </w:p>
    <w:bookmarkEnd w:id="22"/>
    <w:bookmarkStart w:id="23" w:name="seed-variance-analysis"/>
    <w:p>
      <w:pPr>
        <w:pStyle w:val="Heading3"/>
      </w:pPr>
      <w:r>
        <w:t xml:space="preserve">5.7 Seed-variance analysis</w:t>
      </w:r>
    </w:p>
    <w:p>
      <w:pPr>
        <w:pStyle w:val="FirstParagraph"/>
      </w:pPr>
      <w:r>
        <w:t xml:space="preserve">The single-run corrections above still rested on one training run, and Section</w:t>
      </w:r>
      <w:r>
        <w:t xml:space="preserve"> </w:t>
      </w:r>
      <w:r>
        <w:t xml:space="preserve">5.6’s own numbers showed run-to-run test-IoU swings of ~0.03. The U-Net was</w:t>
      </w:r>
      <w:r>
        <w:t xml:space="preserve"> </w:t>
      </w:r>
      <w:r>
        <w:t xml:space="preserve">therefore trained under 3 seeds (42, 43, 44), early stopping, otherwise</w:t>
      </w:r>
      <w:r>
        <w:t xml:space="preserve"> </w:t>
      </w:r>
      <w:r>
        <w:t xml:space="preserve">byte-identical configs (the attention model was run the same way).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strict test IoU (per seed)</w:t>
            </w:r>
          </w:p>
        </w:tc>
        <w:tc>
          <w:tcPr/>
          <w:p>
            <w:pPr>
              <w:pStyle w:val="Compact"/>
            </w:pPr>
            <w:r>
              <w:t xml:space="preserve">strict mean +/- sd</w:t>
            </w:r>
          </w:p>
        </w:tc>
        <w:tc>
          <w:tcPr/>
          <w:p>
            <w:pPr>
              <w:pStyle w:val="Compact"/>
            </w:pPr>
            <w:r>
              <w:t xml:space="preserve">tolerance mean +/- 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U-Net</w:t>
            </w:r>
          </w:p>
        </w:tc>
        <w:tc>
          <w:tcPr/>
          <w:p>
            <w:pPr>
              <w:pStyle w:val="Compact"/>
            </w:pPr>
            <w:r>
              <w:t xml:space="preserve">0.165, 0.170, 0.139</w:t>
            </w:r>
          </w:p>
        </w:tc>
        <w:tc>
          <w:tcPr/>
          <w:p>
            <w:pPr>
              <w:pStyle w:val="Compact"/>
            </w:pPr>
            <w:r>
              <w:t xml:space="preserve">0.158 +/- 0.016</w:t>
            </w:r>
          </w:p>
        </w:tc>
        <w:tc>
          <w:tcPr/>
          <w:p>
            <w:pPr>
              <w:pStyle w:val="Compact"/>
            </w:pPr>
            <w:r>
              <w:t xml:space="preserve">0.248 +/- 0.018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Attn U-Net (recorded)</w:t>
            </w:r>
          </w:p>
        </w:tc>
        <w:tc>
          <w:tcPr/>
          <w:p>
            <w:pPr>
              <w:pStyle w:val="Compact"/>
            </w:pPr>
            <w:r>
              <w:t xml:space="preserve">0.128, 0.087, 0.125</w:t>
            </w:r>
          </w:p>
        </w:tc>
        <w:tc>
          <w:tcPr/>
          <w:p>
            <w:pPr>
              <w:pStyle w:val="Compact"/>
            </w:pPr>
            <w:r>
              <w:t xml:space="preserve">0.113 +/- 0.023</w:t>
            </w:r>
          </w:p>
        </w:tc>
        <w:tc>
          <w:tcPr/>
          <w:p>
            <w:pPr>
              <w:pStyle w:val="Compact"/>
            </w:pPr>
            <w:r>
              <w:t xml:space="preserve">0.199 +/- 0.037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Run-to-run seed sd is 0.016-0.023 on strict test IoU</w:t>
      </w:r>
      <w:r>
        <w:t xml:space="preserve"> </w:t>
      </w:r>
      <w:r>
        <w:t xml:space="preserve">- large relative to</w:t>
      </w:r>
      <w:r>
        <w:t xml:space="preserve"> </w:t>
      </w:r>
      <w:r>
        <w:t xml:space="preserve">the metric itself. A single training run cannot be treated as the model’s</w:t>
      </w:r>
      <w:r>
        <w:t xml:space="preserve"> </w:t>
      </w:r>
      <w:r>
        <w:t xml:space="preserve">score, which is why every segmentation number in this paper is reported as</w:t>
      </w:r>
      <w:r>
        <w:t xml:space="preserve"> </w:t>
      </w:r>
      <w:r>
        <w:t xml:space="preserve">mean +/- sd over the 3 seeds rather than from one run.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Early stopping confirmed rather than resolved the overfitting.</w:t>
      </w:r>
      <w:r>
        <w:t xml:space="preserve"> </w:t>
      </w:r>
      <w:r>
        <w:t xml:space="preserve">Best</w:t>
      </w:r>
      <w:r>
        <w:t xml:space="preserve"> </w:t>
      </w:r>
      <w:r>
        <w:t xml:space="preserve">validation Dice lands at epoch 1, 7 and 8 for the three U-Net seeds - always</w:t>
      </w:r>
      <w:r>
        <w:t xml:space="preserve"> </w:t>
      </w:r>
      <w:r>
        <w:t xml:space="preserve">early, regardless of the 80-epoch</w:t>
      </w:r>
      <w:r>
        <w:t xml:space="preserve"> </w:t>
      </w:r>
      <w:r>
        <w:rPr>
          <w:rStyle w:val="VerbatimChar"/>
        </w:rPr>
        <w:t xml:space="preserve">T_max</w:t>
      </w:r>
      <w:r>
        <w:t xml:space="preserve">. This is a direct consequence of</w:t>
      </w:r>
      <w:r>
        <w:t xml:space="preserve"> </w:t>
      </w:r>
      <w:r>
        <w:t xml:space="preserve">261 training patches at ~0.3% positive prevalence: there is very little</w:t>
      </w:r>
      <w:r>
        <w:t xml:space="preserve"> </w:t>
      </w:r>
      <w:r>
        <w:t xml:space="preserve">signal to fit before the model starts memorising.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iscussion-and-scope"/>
    <w:p>
      <w:pPr>
        <w:pStyle w:val="Heading2"/>
      </w:pPr>
      <w:r>
        <w:t xml:space="preserve">6. Discussion and scope</w:t>
      </w:r>
    </w:p>
    <w:p>
      <w:pPr>
        <w:pStyle w:val="FirstParagraph"/>
      </w:pPr>
      <w:r>
        <w:t xml:space="preserve">These choices are</w:t>
      </w:r>
      <w:r>
        <w:t xml:space="preserve"> </w:t>
      </w:r>
      <w:r>
        <w:rPr>
          <w:b/>
          <w:bCs/>
        </w:rPr>
        <w:t xml:space="preserve">scope decisions taken up front</w:t>
      </w:r>
      <w:r>
        <w:t xml:space="preserve">, not limitations</w:t>
      </w:r>
      <w:r>
        <w:t xml:space="preserve"> </w:t>
      </w:r>
      <w:r>
        <w:t xml:space="preserve">discovered afterward: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Single sensor.</w:t>
      </w:r>
      <w:r>
        <w:t xml:space="preserve"> </w:t>
      </w:r>
      <w:r>
        <w:t xml:space="preserve">Sentinel-2 only; no Landsat or SAR fusion.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region, one window.</w:t>
      </w:r>
      <w:r>
        <w:t xml:space="preserve"> </w:t>
      </w:r>
      <w:r>
        <w:t xml:space="preserve">A single ~848 km2 Wayanad tile, 2019 -&gt; 2021.</w:t>
      </w:r>
      <w:r>
        <w:t xml:space="preserve"> </w:t>
      </w:r>
      <w:r>
        <w:t xml:space="preserve">Depth over breadth; the numbers should not be read as regionally</w:t>
      </w:r>
      <w:r>
        <w:t xml:space="preserve"> </w:t>
      </w:r>
      <w:r>
        <w:t xml:space="preserve">transferable.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Literature-calibrated carbon, not pixel-matched biomass.</w:t>
      </w:r>
      <w:r>
        <w:t xml:space="preserve"> </w:t>
      </w:r>
      <w:r>
        <w:t xml:space="preserve">The regression</w:t>
      </w:r>
      <w:r>
        <w:t xml:space="preserve"> </w:t>
      </w:r>
      <w:r>
        <w:t xml:space="preserve">is anchored to eight published regional carbon densities and this scene’s own</w:t>
      </w:r>
      <w:r>
        <w:t xml:space="preserve"> </w:t>
      </w:r>
      <w:r>
        <w:t xml:space="preserve">NDVI percentiles, not to co-located biomass plots or a GEDI/GFW raster.</w:t>
      </w:r>
      <w:r>
        <w:t xml:space="preserve"> </w:t>
      </w:r>
      <w:r>
        <w:t xml:space="preserve">Its R2 is a curve fit, not predictive accuracy.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Aboveground, CO2-only, committed emission.</w:t>
      </w:r>
      <w:r>
        <w:t xml:space="preserve"> </w:t>
      </w:r>
      <w:r>
        <w:t xml:space="preserve">No belowground / deadwood /</w:t>
      </w:r>
      <w:r>
        <w:t xml:space="preserve"> </w:t>
      </w:r>
      <w:r>
        <w:t xml:space="preserve">litter / soil pools, no non-CO2 gases, no regrowth credit.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evaluation set.</w:t>
      </w:r>
      <w:r>
        <w:t xml:space="preserve"> </w:t>
      </w:r>
      <w:r>
        <w:t xml:space="preserve">16 validation and 18 test patches make threshold</w:t>
      </w:r>
      <w:r>
        <w:t xml:space="preserve"> </w:t>
      </w:r>
      <w:r>
        <w:t xml:space="preserve">selection noisy; the U-Net overfits against a validation set this size, and</w:t>
      </w:r>
      <w:r>
        <w:t xml:space="preserve"> </w:t>
      </w:r>
      <w:r>
        <w:t xml:space="preserve">best validation Dice is reached within the first few epochs.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Run-to-run variance.</w:t>
      </w:r>
      <w:r>
        <w:t xml:space="preserve"> </w:t>
      </w:r>
      <w:r>
        <w:t xml:space="preserve">The seed sd on test IoU is 0.016-0.023 (Section</w:t>
      </w:r>
      <w:r>
        <w:t xml:space="preserve"> </w:t>
      </w:r>
      <w:r>
        <w:t xml:space="preserve">5.7), so every segmentation metric is reported as mean +/- sd over 3 seeds</w:t>
      </w:r>
      <w:r>
        <w:t xml:space="preserve"> </w:t>
      </w:r>
      <w:r>
        <w:t xml:space="preserve">rather than from a single run.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Coarse labels.</w:t>
      </w:r>
      <w:r>
        <w:t xml:space="preserve"> </w:t>
      </w:r>
      <w:r>
        <w:t xml:space="preserve">Hansen GFC is a 30 m annual product used on a 10 m grid;</w:t>
      </w:r>
      <w:r>
        <w:t xml:space="preserve"> </w:t>
      </w:r>
      <w:r>
        <w:t xml:space="preserve">it bounds achievable strict IoU well below values reported for hand-digitised</w:t>
      </w:r>
      <w:r>
        <w:t xml:space="preserve"> </w:t>
      </w:r>
      <w:r>
        <w:t xml:space="preserve">benchmarks. The secondary tolerance IoU (Section 5.1) quantifies part of this</w:t>
      </w:r>
      <w:r>
        <w:t xml:space="preserve"> </w:t>
      </w:r>
      <w:r>
        <w:t xml:space="preserve">penalty - it lifts the U-Net from 0.16 to 0.25 - but strict IoU stays the</w:t>
      </w:r>
      <w:r>
        <w:t xml:space="preserve"> </w:t>
      </w:r>
      <w:r>
        <w:t xml:space="preserve">headline.</w:t>
      </w:r>
    </w:p>
    <w:p>
      <w:pPr>
        <w:pStyle w:val="FirstParagraph"/>
      </w:pPr>
      <w:r>
        <w:t xml:space="preserve">The pipeline’s honest value after the audit and the seed analysis is narrower</w:t>
      </w:r>
      <w:r>
        <w:t xml:space="preserve"> </w:t>
      </w:r>
      <w:r>
        <w:t xml:space="preserve">than the first draft implied: with a strict per-pixel IoU near 0.16 (tolerance</w:t>
      </w:r>
      <w:r>
        <w:t xml:space="preserve"> </w:t>
      </w:r>
      <w:r>
        <w:t xml:space="preserve">~0.25) it produces an</w:t>
      </w:r>
      <w:r>
        <w:t xml:space="preserve"> </w:t>
      </w:r>
      <w:r>
        <w:rPr>
          <w:b/>
          <w:bCs/>
        </w:rPr>
        <w:t xml:space="preserve">aggregate area estimate ~25-30% low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CO2 total</w:t>
      </w:r>
      <w:r>
        <w:rPr>
          <w:b/>
          <w:bCs/>
        </w:rPr>
        <w:t xml:space="preserve"> </w:t>
      </w:r>
      <w:r>
        <w:rPr>
          <w:b/>
          <w:bCs/>
        </w:rPr>
        <w:t xml:space="preserve">~17% below the GFC-reference figure</w:t>
      </w:r>
      <w:r>
        <w:t xml:space="preserve">, with the CO2 error smaller than the area</w:t>
      </w:r>
      <w:r>
        <w:t xml:space="preserve"> </w:t>
      </w:r>
      <w:r>
        <w:t xml:space="preserve">error only because two biases partly offset. What is solid, and independent of the</w:t>
      </w:r>
      <w:r>
        <w:t xml:space="preserve"> </w:t>
      </w:r>
      <w:r>
        <w:t xml:space="preserve">segmentation model and the seed, is (a) the 3-bin -&gt; regression carbon upgrade,</w:t>
      </w:r>
      <w:r>
        <w:t xml:space="preserve"> </w:t>
      </w:r>
      <w:r>
        <w:t xml:space="preserve">which cuts the region-wide CO2 estimate by ~19% toward the moist-deciduous</w:t>
      </w:r>
      <w:r>
        <w:t xml:space="preserve"> </w:t>
      </w:r>
      <w:r>
        <w:t xml:space="preserve">field range, (b) the GFC-referenced emission factor being a sensible ~60% of</w:t>
      </w:r>
      <w:r>
        <w:t xml:space="preserve"> </w:t>
      </w:r>
      <w:r>
        <w:t xml:space="preserve">the GFW all-pools value, and (c) the leakage audit and seed protocol as</w:t>
      </w:r>
      <w:r>
        <w:t xml:space="preserve"> </w:t>
      </w:r>
      <w:r>
        <w:t xml:space="preserve">reusable checks (</w:t>
      </w:r>
      <w:r>
        <w:rPr>
          <w:rStyle w:val="VerbatimChar"/>
        </w:rPr>
        <w:t xml:space="preserve">scripts/verify_no_leakage.py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scripts/aggregate_seeds.py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Start w:id="26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We built and end-to-end validated a single pipeline from two Sentinel-2</w:t>
      </w:r>
      <w:r>
        <w:t xml:space="preserve"> </w:t>
      </w:r>
      <w:r>
        <w:t xml:space="preserve">composites to a hectares-lost and a tonnes-CO2 figure for a Western Ghats tile,</w:t>
      </w:r>
      <w:r>
        <w:t xml:space="preserve"> </w:t>
      </w:r>
      <w:r>
        <w:t xml:space="preserve">and upgraded the carbon step from three hard-coded NDVI constants to a</w:t>
      </w:r>
      <w:r>
        <w:t xml:space="preserve"> </w:t>
      </w:r>
      <w:r>
        <w:t xml:space="preserve">regionally-calibrated regression. The segmenter is a plain U-Net; an Attention</w:t>
      </w:r>
      <w:r>
        <w:t xml:space="preserve"> </w:t>
      </w:r>
      <w:r>
        <w:t xml:space="preserve">U-Net + MobileNetV2 trained under the same schedule did not improve on it</w:t>
      </w:r>
      <w:r>
        <w:t xml:space="preserve"> </w:t>
      </w:r>
      <w:r>
        <w:t xml:space="preserve">(strict test IoU 0.113 +/- 0.023 vs 0.158 +/- 0.016 across 3 seeds) and is</w:t>
      </w:r>
      <w:r>
        <w:t xml:space="preserve"> </w:t>
      </w:r>
      <w:r>
        <w:t xml:space="preserve">retained only as a recorded negative result. A leakage audit and then a</w:t>
      </w:r>
      <w:r>
        <w:t xml:space="preserve"> </w:t>
      </w:r>
      <w:r>
        <w:t xml:space="preserve">seed-variance analysis each forced a full re-run; after both, the pipeline</w:t>
      </w:r>
      <w:r>
        <w:t xml:space="preserve"> </w:t>
      </w:r>
      <w:r>
        <w:t xml:space="preserve">under-predicts held-out loss area by ~27% and its CO2 total by ~17%. The</w:t>
      </w:r>
      <w:r>
        <w:t xml:space="preserve"> </w:t>
      </w:r>
      <w:r>
        <w:t xml:space="preserve">model-independent results - the bins-to-regression carbon reduction (~19%) and</w:t>
      </w:r>
      <w:r>
        <w:t xml:space="preserve"> </w:t>
      </w:r>
      <w:r>
        <w:t xml:space="preserve">the ~60% emission-factor ratio against Global Forest Watch - are the parts to</w:t>
      </w:r>
      <w:r>
        <w:t xml:space="preserve"> </w:t>
      </w:r>
      <w:r>
        <w:t xml:space="preserve">build on. Natural next steps: co-located biomass calibration, multi-region</w:t>
      </w:r>
      <w:r>
        <w:t xml:space="preserve"> </w:t>
      </w:r>
      <w:r>
        <w:t xml:space="preserve">evaluation, a larger annotated change set, and a recall-oriented loss or</w:t>
      </w:r>
      <w:r>
        <w:t xml:space="preserve"> </w:t>
      </w:r>
      <w:r>
        <w:t xml:space="preserve">threshold to correct the area under-prediction.</w:t>
      </w:r>
    </w:p>
    <w:p>
      <w:r>
        <w:pict>
          <v:rect style="width:0;height:1.5pt" o:hralign="center" o:hrstd="t" o:hr="t"/>
        </w:pic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6"/>
        </w:numPr>
      </w:pPr>
      <w:r>
        <w:t xml:space="preserve">Chave, J. et al. (2014). Improved allometric models to estimate the</w:t>
      </w:r>
      <w:r>
        <w:t xml:space="preserve"> </w:t>
      </w:r>
      <w:r>
        <w:t xml:space="preserve">aboveground biomass of tropical trees.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 </w:t>
      </w:r>
      <w:r>
        <w:t xml:space="preserve">20(10),</w:t>
      </w:r>
      <w:r>
        <w:t xml:space="preserve"> </w:t>
      </w:r>
      <w:r>
        <w:t xml:space="preserve">3177-3190.</w:t>
      </w:r>
    </w:p>
    <w:p>
      <w:pPr>
        <w:pStyle w:val="Compact"/>
        <w:numPr>
          <w:ilvl w:val="0"/>
          <w:numId w:val="1006"/>
        </w:numPr>
      </w:pPr>
      <w:r>
        <w:t xml:space="preserve">Hansen, M.C. et al. (2013). High-resolution global maps of 21st-century</w:t>
      </w:r>
      <w:r>
        <w:t xml:space="preserve"> </w:t>
      </w:r>
      <w:r>
        <w:t xml:space="preserve">forest cover change.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342(6160), 850-853.</w:t>
      </w:r>
    </w:p>
    <w:p>
      <w:pPr>
        <w:pStyle w:val="Compact"/>
        <w:numPr>
          <w:ilvl w:val="0"/>
          <w:numId w:val="1006"/>
        </w:numPr>
      </w:pPr>
      <w:r>
        <w:t xml:space="preserve">Harris, N.L. et al. (2021). Global maps of twenty-first century forest</w:t>
      </w:r>
      <w:r>
        <w:t xml:space="preserve"> </w:t>
      </w:r>
      <w:r>
        <w:t xml:space="preserve">carbon fluxes.</w:t>
      </w:r>
      <w:r>
        <w:t xml:space="preserve"> </w:t>
      </w:r>
      <w:r>
        <w:rPr>
          <w:i/>
          <w:iCs/>
        </w:rPr>
        <w:t xml:space="preserve">Nature Climate Change</w:t>
      </w:r>
      <w:r>
        <w:t xml:space="preserve"> </w:t>
      </w:r>
      <w:r>
        <w:t xml:space="preserve">11, 234-240.</w:t>
      </w:r>
    </w:p>
    <w:p>
      <w:pPr>
        <w:pStyle w:val="Compact"/>
        <w:numPr>
          <w:ilvl w:val="0"/>
          <w:numId w:val="1006"/>
        </w:numPr>
      </w:pPr>
      <w:r>
        <w:t xml:space="preserve">IPCC (2006). 2006 IPCC Guidelines for National Greenhouse Gas Inventories,</w:t>
      </w:r>
      <w:r>
        <w:t xml:space="preserve"> </w:t>
      </w:r>
      <w:r>
        <w:t xml:space="preserve">Volume 4 (AFOLU), Chapter 4, Table 4.3 (default carbon fraction 0.47).</w:t>
      </w:r>
    </w:p>
    <w:p>
      <w:pPr>
        <w:pStyle w:val="Compact"/>
        <w:numPr>
          <w:ilvl w:val="0"/>
          <w:numId w:val="1006"/>
        </w:numPr>
      </w:pPr>
      <w:r>
        <w:t xml:space="preserve">John, D. and Zhang, C. (2022). An attention-based U-Net for detecting</w:t>
      </w:r>
      <w:r>
        <w:t xml:space="preserve"> </w:t>
      </w:r>
      <w:r>
        <w:t xml:space="preserve">deforestation within satellite sensor imagery.</w:t>
      </w:r>
      <w:r>
        <w:t xml:space="preserve"> </w:t>
      </w:r>
      <w:r>
        <w:rPr>
          <w:i/>
          <w:iCs/>
        </w:rPr>
        <w:t xml:space="preserve">International Journal of</w:t>
      </w:r>
      <w:r>
        <w:rPr>
          <w:i/>
          <w:iCs/>
        </w:rPr>
        <w:t xml:space="preserve"> </w:t>
      </w:r>
      <w:r>
        <w:rPr>
          <w:i/>
          <w:iCs/>
        </w:rPr>
        <w:t xml:space="preserve">Applied Earth Observation and Geoinformation</w:t>
      </w:r>
      <w:r>
        <w:t xml:space="preserve"> </w:t>
      </w:r>
      <w:r>
        <w:t xml:space="preserve">107, 102685.</w:t>
      </w:r>
    </w:p>
    <w:p>
      <w:pPr>
        <w:pStyle w:val="Compact"/>
        <w:numPr>
          <w:ilvl w:val="0"/>
          <w:numId w:val="1006"/>
        </w:numPr>
      </w:pPr>
      <w:r>
        <w:t xml:space="preserve">Jose, K. et al. (2025). Woody species diversity, structure, and carbon stock</w:t>
      </w:r>
      <w:r>
        <w:t xml:space="preserve"> </w:t>
      </w:r>
      <w:r>
        <w:t xml:space="preserve">in a tropical semi-evergreen forest in Western Ghats, India.</w:t>
      </w:r>
      <w:r>
        <w:t xml:space="preserve"> </w:t>
      </w:r>
      <w:r>
        <w:rPr>
          <w:i/>
          <w:iCs/>
        </w:rPr>
        <w:t xml:space="preserve">Environmental</w:t>
      </w:r>
      <w:r>
        <w:rPr>
          <w:i/>
          <w:iCs/>
        </w:rPr>
        <w:t xml:space="preserve"> </w:t>
      </w:r>
      <w:r>
        <w:rPr>
          <w:i/>
          <w:iCs/>
        </w:rPr>
        <w:t xml:space="preserve">Research Communications</w:t>
      </w:r>
      <w:r>
        <w:t xml:space="preserve"> </w:t>
      </w:r>
      <w:r>
        <w:t xml:space="preserve">7(4), 045027.</w:t>
      </w:r>
    </w:p>
    <w:p>
      <w:pPr>
        <w:pStyle w:val="Compact"/>
        <w:numPr>
          <w:ilvl w:val="0"/>
          <w:numId w:val="1006"/>
        </w:numPr>
      </w:pPr>
      <w:r>
        <w:t xml:space="preserve">Kothandaraman, S. et al. (2020). Ecosystem-level carbon storage and its</w:t>
      </w:r>
      <w:r>
        <w:t xml:space="preserve"> </w:t>
      </w:r>
      <w:r>
        <w:t xml:space="preserve">links to diversity, structural and environmental drivers in tropical forests</w:t>
      </w:r>
      <w:r>
        <w:t xml:space="preserve"> </w:t>
      </w:r>
      <w:r>
        <w:t xml:space="preserve">of Western Ghats, India.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10, 13444.</w:t>
      </w:r>
    </w:p>
    <w:p>
      <w:pPr>
        <w:pStyle w:val="Compact"/>
        <w:numPr>
          <w:ilvl w:val="0"/>
          <w:numId w:val="1006"/>
        </w:numPr>
      </w:pPr>
      <w:r>
        <w:t xml:space="preserve">Li, Y., Li, M., Li, C. and Liu, Z. (2020). Forest aboveground biomass</w:t>
      </w:r>
      <w:r>
        <w:t xml:space="preserve"> </w:t>
      </w:r>
      <w:r>
        <w:t xml:space="preserve">estimation using Landsat 8 and Sentinel-1A data with machine learning</w:t>
      </w:r>
      <w:r>
        <w:t xml:space="preserve"> </w:t>
      </w:r>
      <w:r>
        <w:t xml:space="preserve">algorithms.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10, 9952.</w:t>
      </w:r>
    </w:p>
    <w:p>
      <w:pPr>
        <w:pStyle w:val="Compact"/>
        <w:numPr>
          <w:ilvl w:val="0"/>
          <w:numId w:val="1006"/>
        </w:numPr>
      </w:pPr>
      <w:r>
        <w:t xml:space="preserve">Muhammad, B. et al. (2024). Estimation of above-ground biomass in dry</w:t>
      </w:r>
      <w:r>
        <w:t xml:space="preserve"> </w:t>
      </w:r>
      <w:r>
        <w:t xml:space="preserve">temperate forests using Sentinel-2 data and random forest: a case study of</w:t>
      </w:r>
      <w:r>
        <w:t xml:space="preserve"> </w:t>
      </w:r>
      <w:r>
        <w:t xml:space="preserve">the Swat area of Pakistan.</w:t>
      </w:r>
      <w:r>
        <w:t xml:space="preserve"> </w:t>
      </w:r>
      <w:r>
        <w:rPr>
          <w:i/>
          <w:iCs/>
        </w:rPr>
        <w:t xml:space="preserve">Frontiers in Environmental Science</w:t>
      </w:r>
      <w:r>
        <w:t xml:space="preserve"> </w:t>
      </w:r>
      <w:r>
        <w:t xml:space="preserve">12, 1448648.</w:t>
      </w:r>
    </w:p>
    <w:p>
      <w:pPr>
        <w:pStyle w:val="Compact"/>
        <w:numPr>
          <w:ilvl w:val="0"/>
          <w:numId w:val="1006"/>
        </w:numPr>
      </w:pPr>
      <w:r>
        <w:t xml:space="preserve">Oktay, O. et al. (2018). Attention U-Net: learning where to look for the</w:t>
      </w:r>
      <w:r>
        <w:t xml:space="preserve"> </w:t>
      </w:r>
      <w:r>
        <w:t xml:space="preserve">pancreas.</w:t>
      </w:r>
      <w:r>
        <w:t xml:space="preserve"> </w:t>
      </w:r>
      <w:r>
        <w:rPr>
          <w:i/>
          <w:iCs/>
        </w:rPr>
        <w:t xml:space="preserve">MIDL 2018</w:t>
      </w:r>
      <w:r>
        <w:t xml:space="preserve"> </w:t>
      </w:r>
      <w:r>
        <w:t xml:space="preserve">/ arXiv:1804.03999.</w:t>
      </w:r>
    </w:p>
    <w:p>
      <w:pPr>
        <w:pStyle w:val="Compact"/>
        <w:numPr>
          <w:ilvl w:val="0"/>
          <w:numId w:val="1006"/>
        </w:numPr>
      </w:pPr>
      <w:r>
        <w:t xml:space="preserve">Padmakumar, B. et al. (2018). Tree biomass and carbon density estimation in</w:t>
      </w:r>
      <w:r>
        <w:t xml:space="preserve"> </w:t>
      </w:r>
      <w:r>
        <w:t xml:space="preserve">the tropical dry forest of Southern Western Ghats, India.</w:t>
      </w:r>
      <w:r>
        <w:t xml:space="preserve"> </w:t>
      </w:r>
      <w:r>
        <w:rPr>
          <w:i/>
          <w:iCs/>
        </w:rPr>
        <w:t xml:space="preserve">iForest -</w:t>
      </w:r>
      <w:r>
        <w:rPr>
          <w:i/>
          <w:iCs/>
        </w:rPr>
        <w:t xml:space="preserve"> </w:t>
      </w:r>
      <w:r>
        <w:rPr>
          <w:i/>
          <w:iCs/>
        </w:rPr>
        <w:t xml:space="preserve">Biogeosciences and Forestry</w:t>
      </w:r>
      <w:r>
        <w:t xml:space="preserve"> </w:t>
      </w:r>
      <w:r>
        <w:t xml:space="preserve">11(4), 534-541.</w:t>
      </w:r>
    </w:p>
    <w:p>
      <w:pPr>
        <w:pStyle w:val="Compact"/>
        <w:numPr>
          <w:ilvl w:val="0"/>
          <w:numId w:val="1006"/>
        </w:numPr>
      </w:pPr>
      <w:r>
        <w:t xml:space="preserve">Ronneberger, O., Fischer, P. and Brox, T. (2015). U-Net: convolutional</w:t>
      </w:r>
      <w:r>
        <w:t xml:space="preserve"> </w:t>
      </w:r>
      <w:r>
        <w:t xml:space="preserve">networks for biomedical image segmentation.</w:t>
      </w:r>
      <w:r>
        <w:t xml:space="preserve"> </w:t>
      </w:r>
      <w:r>
        <w:rPr>
          <w:i/>
          <w:iCs/>
        </w:rPr>
        <w:t xml:space="preserve">MICCAI 2015</w:t>
      </w:r>
      <w:r>
        <w:t xml:space="preserve">, 234-241.</w:t>
      </w:r>
    </w:p>
    <w:p>
      <w:pPr>
        <w:pStyle w:val="Compact"/>
        <w:numPr>
          <w:ilvl w:val="0"/>
          <w:numId w:val="1006"/>
        </w:numPr>
      </w:pPr>
      <w:r>
        <w:t xml:space="preserve">Sandler, M. et al. (2018). MobileNetV2: inverted residuals and linear</w:t>
      </w:r>
      <w:r>
        <w:t xml:space="preserve"> </w:t>
      </w:r>
      <w:r>
        <w:t xml:space="preserve">bottlenecks.</w:t>
      </w:r>
      <w:r>
        <w:t xml:space="preserve"> </w:t>
      </w:r>
      <w:r>
        <w:rPr>
          <w:i/>
          <w:iCs/>
        </w:rPr>
        <w:t xml:space="preserve">CVPR 2018</w:t>
      </w:r>
      <w:r>
        <w:t xml:space="preserve">, 4510-4520.</w:t>
      </w:r>
    </w:p>
    <w:p>
      <w:r>
        <w:pict>
          <v:rect style="width:0;height:1.5pt" o:hralign="center" o:hrstd="t" o:hr="t"/>
        </w:pict>
      </w:r>
    </w:p>
    <w:bookmarkEnd w:id="27"/>
    <w:bookmarkStart w:id="28" w:name="reproducibility"/>
    <w:p>
      <w:pPr>
        <w:pStyle w:val="Heading2"/>
      </w:pPr>
      <w:r>
        <w:t xml:space="preserve">Reproducibility</w:t>
      </w:r>
    </w:p>
    <w:p>
      <w:pPr>
        <w:pStyle w:val="FirstParagraph"/>
      </w:pPr>
      <w:r>
        <w:t xml:space="preserve">Phase-by-phase notes and every real number are in</w:t>
      </w:r>
      <w:r>
        <w:t xml:space="preserve"> </w:t>
      </w:r>
      <w:r>
        <w:rPr>
          <w:rStyle w:val="VerbatimChar"/>
        </w:rPr>
        <w:t xml:space="preserve">docs/phase{1..7}_notes.md</w:t>
      </w:r>
      <w:r>
        <w:t xml:space="preserve">;</w:t>
      </w:r>
      <w:r>
        <w:t xml:space="preserve"> </w:t>
      </w:r>
      <w:r>
        <w:t xml:space="preserve">the leakage audit is in</w:t>
      </w:r>
      <w:r>
        <w:t xml:space="preserve"> </w:t>
      </w:r>
      <w:r>
        <w:rPr>
          <w:rStyle w:val="VerbatimChar"/>
        </w:rPr>
        <w:t xml:space="preserve">docs/phase7_notes.md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scripts/verify_no_leakage.py</w:t>
      </w:r>
      <w:r>
        <w:t xml:space="preserve">.</w:t>
      </w:r>
      <w:r>
        <w:t xml:space="preserve"> </w:t>
      </w:r>
      <w:r>
        <w:t xml:space="preserve">Provenance JSON/CSV in</w:t>
      </w:r>
      <w:r>
        <w:t xml:space="preserve"> </w:t>
      </w:r>
      <w:r>
        <w:rPr>
          <w:rStyle w:val="VerbatimChar"/>
        </w:rPr>
        <w:t xml:space="preserve">data/*/manifest.json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data/processed/split.json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results/metrics/*.json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results/deforestation/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results/carbon_validation/</w:t>
      </w:r>
      <w:r>
        <w:t xml:space="preserve">.</w:t>
      </w:r>
      <w:r>
        <w:t xml:space="preserve"> </w:t>
      </w:r>
      <w:r>
        <w:t xml:space="preserve">Each phase, the audit, and the post-audit re-run are separate git commits.</w:t>
      </w:r>
      <w:r>
        <w:t xml:space="preserve"> </w:t>
      </w:r>
      <w:r>
        <w:t xml:space="preserve">Reference-value sources with DOIs are in</w:t>
      </w:r>
      <w:r>
        <w:t xml:space="preserve"> </w:t>
      </w:r>
      <w:r>
        <w:rPr>
          <w:rStyle w:val="VerbatimChar"/>
        </w:rPr>
        <w:t xml:space="preserve">docs/refs/</w:t>
      </w:r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2026-08-31T13:41:51Z</dcterms:created>
  <dcterms:modified xsi:type="dcterms:W3CDTF">2026-08-31T13:41:51Z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