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9B7AC" w14:textId="77777777" w:rsidR="00A0087E" w:rsidRPr="00A0087E" w:rsidRDefault="00A0087E" w:rsidP="00A0087E">
      <w:pPr>
        <w:rPr>
          <w:b/>
          <w:bCs/>
        </w:rPr>
      </w:pPr>
      <w:r w:rsidRPr="00A0087E">
        <w:rPr>
          <w:b/>
          <w:bCs/>
        </w:rPr>
        <w:t>Case Study: Advanced Quantum-Resistant Security Implementation for a Global Financial Institution</w:t>
      </w:r>
    </w:p>
    <w:p w14:paraId="7B68286F" w14:textId="77777777" w:rsidR="00A0087E" w:rsidRPr="00A0087E" w:rsidRDefault="00A0087E" w:rsidP="00A0087E">
      <w:r w:rsidRPr="00A0087E">
        <w:rPr>
          <w:b/>
          <w:bCs/>
        </w:rPr>
        <w:t>Introduction</w:t>
      </w:r>
      <w:r w:rsidRPr="00A0087E">
        <w:br/>
        <w:t xml:space="preserve">The rapid evolution of quantum computing poses significant risks to classical cryptographic protocols, rendering traditional encryption methods increasingly vulnerable. This case study details how </w:t>
      </w:r>
      <w:proofErr w:type="spellStart"/>
      <w:r w:rsidRPr="00A0087E">
        <w:t>Qryptonic</w:t>
      </w:r>
      <w:proofErr w:type="spellEnd"/>
      <w:r w:rsidRPr="00A0087E">
        <w:t xml:space="preserve"> engineered a comprehensive, quantum-resistant security architecture for a leading global financial institution, ensuring both immediate protection and long-term resilience.</w:t>
      </w:r>
    </w:p>
    <w:p w14:paraId="65E41A31" w14:textId="77777777" w:rsidR="00A0087E" w:rsidRPr="00A0087E" w:rsidRDefault="00A0087E" w:rsidP="00A0087E">
      <w:r w:rsidRPr="00A0087E">
        <w:rPr>
          <w:b/>
          <w:bCs/>
        </w:rPr>
        <w:t>Client Background</w:t>
      </w:r>
      <w:r w:rsidRPr="00A0087E">
        <w:br/>
        <w:t>The client is an anonymized global financial institution responsible for managing high-stakes transactions and sensitive customer data. With legacy systems relying heavily on RSA and ECC algorithms, the institution faced imminent risks from quantum algorithms—particularly Shor’s algorithm—that could compromise their entire security infrastructure. Additionally, strict regulatory requirements and the need for uninterrupted service necessitated a robust, future-proof solution.</w:t>
      </w:r>
    </w:p>
    <w:p w14:paraId="7ACDAAFB" w14:textId="77777777" w:rsidR="00A0087E" w:rsidRPr="00A0087E" w:rsidRDefault="00A0087E" w:rsidP="00A0087E">
      <w:r w:rsidRPr="00A0087E">
        <w:rPr>
          <w:b/>
          <w:bCs/>
        </w:rPr>
        <w:t>Technical Challenge</w:t>
      </w:r>
    </w:p>
    <w:p w14:paraId="3F254F94" w14:textId="77777777" w:rsidR="00A0087E" w:rsidRPr="00A0087E" w:rsidRDefault="00A0087E" w:rsidP="00A0087E">
      <w:pPr>
        <w:numPr>
          <w:ilvl w:val="0"/>
          <w:numId w:val="1"/>
        </w:numPr>
      </w:pPr>
      <w:r w:rsidRPr="00A0087E">
        <w:rPr>
          <w:b/>
          <w:bCs/>
        </w:rPr>
        <w:t>Legacy Cryptographic Vulnerabilities:</w:t>
      </w:r>
      <w:r w:rsidRPr="00A0087E">
        <w:t xml:space="preserve"> Traditional RSA and ECC encryption methods are susceptible to decryption via quantum computing.</w:t>
      </w:r>
    </w:p>
    <w:p w14:paraId="156AA5ED" w14:textId="77777777" w:rsidR="00A0087E" w:rsidRPr="00A0087E" w:rsidRDefault="00A0087E" w:rsidP="00A0087E">
      <w:pPr>
        <w:numPr>
          <w:ilvl w:val="0"/>
          <w:numId w:val="1"/>
        </w:numPr>
      </w:pPr>
      <w:r w:rsidRPr="00A0087E">
        <w:rPr>
          <w:b/>
          <w:bCs/>
        </w:rPr>
        <w:t>Compliance and Standards:</w:t>
      </w:r>
      <w:r w:rsidRPr="00A0087E">
        <w:t xml:space="preserve"> The institution needed to align with emerging standards from bodies such as NIST’s Post-Quantum Cryptography (PQC) initiative, which mandate the use of quantum-safe algorithms.</w:t>
      </w:r>
    </w:p>
    <w:p w14:paraId="376C41AD" w14:textId="77777777" w:rsidR="00A0087E" w:rsidRPr="00A0087E" w:rsidRDefault="00A0087E" w:rsidP="00A0087E">
      <w:pPr>
        <w:numPr>
          <w:ilvl w:val="0"/>
          <w:numId w:val="1"/>
        </w:numPr>
      </w:pPr>
      <w:r w:rsidRPr="00A0087E">
        <w:rPr>
          <w:b/>
          <w:bCs/>
        </w:rPr>
        <w:t>Seamless Integration:</w:t>
      </w:r>
      <w:r w:rsidRPr="00A0087E">
        <w:t xml:space="preserve"> Upgrading the cryptographic framework required a solution that could integrate with existing systems without impacting performance or operational continuity.</w:t>
      </w:r>
    </w:p>
    <w:p w14:paraId="4F2055C0" w14:textId="77777777" w:rsidR="00A0087E" w:rsidRPr="00A0087E" w:rsidRDefault="00A0087E" w:rsidP="00A0087E">
      <w:proofErr w:type="spellStart"/>
      <w:r w:rsidRPr="00A0087E">
        <w:rPr>
          <w:b/>
          <w:bCs/>
        </w:rPr>
        <w:t>Qryptonic’s</w:t>
      </w:r>
      <w:proofErr w:type="spellEnd"/>
      <w:r w:rsidRPr="00A0087E">
        <w:rPr>
          <w:b/>
          <w:bCs/>
        </w:rPr>
        <w:t xml:space="preserve"> Technical Solution</w:t>
      </w:r>
    </w:p>
    <w:p w14:paraId="268680AA" w14:textId="77777777" w:rsidR="00A0087E" w:rsidRPr="00A0087E" w:rsidRDefault="00A0087E" w:rsidP="00A0087E">
      <w:pPr>
        <w:numPr>
          <w:ilvl w:val="0"/>
          <w:numId w:val="2"/>
        </w:numPr>
      </w:pPr>
      <w:r w:rsidRPr="00A0087E">
        <w:rPr>
          <w:b/>
          <w:bCs/>
        </w:rPr>
        <w:t>Comprehensive Risk Assessment:</w:t>
      </w:r>
    </w:p>
    <w:p w14:paraId="1102D267" w14:textId="77777777" w:rsidR="00A0087E" w:rsidRPr="00A0087E" w:rsidRDefault="00A0087E" w:rsidP="00A0087E">
      <w:pPr>
        <w:numPr>
          <w:ilvl w:val="1"/>
          <w:numId w:val="2"/>
        </w:numPr>
      </w:pPr>
      <w:r w:rsidRPr="00A0087E">
        <w:t>Performed an in-depth audit to identify vulnerabilities in current encryption schemes.</w:t>
      </w:r>
    </w:p>
    <w:p w14:paraId="344E6853" w14:textId="77777777" w:rsidR="00A0087E" w:rsidRPr="00A0087E" w:rsidRDefault="00A0087E" w:rsidP="00A0087E">
      <w:pPr>
        <w:numPr>
          <w:ilvl w:val="1"/>
          <w:numId w:val="2"/>
        </w:numPr>
      </w:pPr>
      <w:r w:rsidRPr="00A0087E">
        <w:t>Utilized quantum threat modeling to simulate potential attack vectors exploiting quantum capabilities.</w:t>
      </w:r>
    </w:p>
    <w:p w14:paraId="3F0506C1" w14:textId="77777777" w:rsidR="00A0087E" w:rsidRPr="00A0087E" w:rsidRDefault="00A0087E" w:rsidP="00A0087E">
      <w:pPr>
        <w:numPr>
          <w:ilvl w:val="0"/>
          <w:numId w:val="2"/>
        </w:numPr>
      </w:pPr>
      <w:r w:rsidRPr="00A0087E">
        <w:rPr>
          <w:b/>
          <w:bCs/>
        </w:rPr>
        <w:t>Hybrid Cryptographic Transition:</w:t>
      </w:r>
    </w:p>
    <w:p w14:paraId="3EE0E258" w14:textId="77777777" w:rsidR="00A0087E" w:rsidRPr="00A0087E" w:rsidRDefault="00A0087E" w:rsidP="00A0087E">
      <w:pPr>
        <w:numPr>
          <w:ilvl w:val="1"/>
          <w:numId w:val="2"/>
        </w:numPr>
      </w:pPr>
      <w:r w:rsidRPr="00A0087E">
        <w:rPr>
          <w:b/>
          <w:bCs/>
        </w:rPr>
        <w:lastRenderedPageBreak/>
        <w:t>Dual-Layer Encryption:</w:t>
      </w:r>
      <w:r w:rsidRPr="00A0087E">
        <w:t xml:space="preserve"> Implemented a hybrid approach combining traditional and post-quantum algorithms to ensure backward compatibility while securing future communications.</w:t>
      </w:r>
    </w:p>
    <w:p w14:paraId="545827B4" w14:textId="77777777" w:rsidR="00A0087E" w:rsidRPr="00A0087E" w:rsidRDefault="00A0087E" w:rsidP="00A0087E">
      <w:pPr>
        <w:numPr>
          <w:ilvl w:val="1"/>
          <w:numId w:val="2"/>
        </w:numPr>
      </w:pPr>
      <w:r w:rsidRPr="00A0087E">
        <w:rPr>
          <w:b/>
          <w:bCs/>
        </w:rPr>
        <w:t>Lattice-Based Cryptography:</w:t>
      </w:r>
      <w:r w:rsidRPr="00A0087E">
        <w:t xml:space="preserve"> Deployed state-of-the-art algorithms such as CRYSTALS-Kyber for key encapsulation and CRYSTALS-</w:t>
      </w:r>
      <w:proofErr w:type="spellStart"/>
      <w:r w:rsidRPr="00A0087E">
        <w:t>Dilithium</w:t>
      </w:r>
      <w:proofErr w:type="spellEnd"/>
      <w:r w:rsidRPr="00A0087E">
        <w:t xml:space="preserve"> for digital signatures, both recognized for their quantum resilience.</w:t>
      </w:r>
    </w:p>
    <w:p w14:paraId="54F80725" w14:textId="77777777" w:rsidR="00A0087E" w:rsidRPr="00A0087E" w:rsidRDefault="00A0087E" w:rsidP="00A0087E">
      <w:pPr>
        <w:numPr>
          <w:ilvl w:val="1"/>
          <w:numId w:val="2"/>
        </w:numPr>
      </w:pPr>
      <w:r w:rsidRPr="00A0087E">
        <w:rPr>
          <w:b/>
          <w:bCs/>
        </w:rPr>
        <w:t>Hybrid Key Exchange:</w:t>
      </w:r>
      <w:r w:rsidRPr="00A0087E">
        <w:t xml:space="preserve"> Configured a key exchange protocol that leverages both classical and quantum-resistant methods, ensuring a seamless transition and enhanced security during the changeover.</w:t>
      </w:r>
    </w:p>
    <w:p w14:paraId="4A36FFB7" w14:textId="77777777" w:rsidR="00A0087E" w:rsidRPr="00A0087E" w:rsidRDefault="00A0087E" w:rsidP="00A0087E">
      <w:pPr>
        <w:numPr>
          <w:ilvl w:val="0"/>
          <w:numId w:val="2"/>
        </w:numPr>
      </w:pPr>
      <w:r w:rsidRPr="00A0087E">
        <w:rPr>
          <w:b/>
          <w:bCs/>
        </w:rPr>
        <w:t>System Integration and Performance Optimization:</w:t>
      </w:r>
    </w:p>
    <w:p w14:paraId="3AFCF130" w14:textId="77777777" w:rsidR="00A0087E" w:rsidRPr="00A0087E" w:rsidRDefault="00A0087E" w:rsidP="00A0087E">
      <w:pPr>
        <w:numPr>
          <w:ilvl w:val="1"/>
          <w:numId w:val="2"/>
        </w:numPr>
      </w:pPr>
      <w:r w:rsidRPr="00A0087E">
        <w:rPr>
          <w:b/>
          <w:bCs/>
        </w:rPr>
        <w:t>Custom Middleware Development:</w:t>
      </w:r>
      <w:r w:rsidRPr="00A0087E">
        <w:t xml:space="preserve"> Created specialized middleware to bridge legacy systems with new quantum-safe modules, ensuring data integrity and uninterrupted operations.</w:t>
      </w:r>
    </w:p>
    <w:p w14:paraId="14BD92E2" w14:textId="77777777" w:rsidR="00A0087E" w:rsidRPr="00A0087E" w:rsidRDefault="00A0087E" w:rsidP="00A0087E">
      <w:pPr>
        <w:numPr>
          <w:ilvl w:val="1"/>
          <w:numId w:val="2"/>
        </w:numPr>
      </w:pPr>
      <w:r w:rsidRPr="00A0087E">
        <w:rPr>
          <w:b/>
          <w:bCs/>
        </w:rPr>
        <w:t>Hardware Acceleration:</w:t>
      </w:r>
      <w:r w:rsidRPr="00A0087E">
        <w:t xml:space="preserve"> Leveraged FPGA-based acceleration to optimize cryptographic processing, maintaining low latency and high throughput even with increased computational demands.</w:t>
      </w:r>
    </w:p>
    <w:p w14:paraId="47B8B6C7" w14:textId="77777777" w:rsidR="00A0087E" w:rsidRPr="00A0087E" w:rsidRDefault="00A0087E" w:rsidP="00A0087E">
      <w:pPr>
        <w:numPr>
          <w:ilvl w:val="1"/>
          <w:numId w:val="2"/>
        </w:numPr>
      </w:pPr>
      <w:r w:rsidRPr="00A0087E">
        <w:rPr>
          <w:b/>
          <w:bCs/>
        </w:rPr>
        <w:t>Secure API Gateways:</w:t>
      </w:r>
      <w:r w:rsidRPr="00A0087E">
        <w:t xml:space="preserve"> Implemented robust API gateways enforcing quantum-resistant protocols across microservices, further strengthening the security perimeter.</w:t>
      </w:r>
    </w:p>
    <w:p w14:paraId="1448BF7F" w14:textId="77777777" w:rsidR="00A0087E" w:rsidRPr="00A0087E" w:rsidRDefault="00A0087E" w:rsidP="00A0087E">
      <w:pPr>
        <w:numPr>
          <w:ilvl w:val="0"/>
          <w:numId w:val="2"/>
        </w:numPr>
      </w:pPr>
      <w:r w:rsidRPr="00A0087E">
        <w:rPr>
          <w:b/>
          <w:bCs/>
        </w:rPr>
        <w:t>Continuous Monitoring and Adaptive Defense:</w:t>
      </w:r>
    </w:p>
    <w:p w14:paraId="45E71E63" w14:textId="77777777" w:rsidR="00A0087E" w:rsidRPr="00A0087E" w:rsidRDefault="00A0087E" w:rsidP="00A0087E">
      <w:pPr>
        <w:numPr>
          <w:ilvl w:val="1"/>
          <w:numId w:val="2"/>
        </w:numPr>
      </w:pPr>
      <w:r w:rsidRPr="00A0087E">
        <w:t>Integrated advanced Intrusion Detection Systems (IDS) and Security Information and Event Management (SIEM) tools capable of monitoring for quantum-related threat indicators.</w:t>
      </w:r>
    </w:p>
    <w:p w14:paraId="4E859F18" w14:textId="77777777" w:rsidR="00A0087E" w:rsidRPr="00A0087E" w:rsidRDefault="00A0087E" w:rsidP="00A0087E">
      <w:pPr>
        <w:numPr>
          <w:ilvl w:val="1"/>
          <w:numId w:val="2"/>
        </w:numPr>
      </w:pPr>
      <w:r w:rsidRPr="00A0087E">
        <w:t>Established automated patch management and real-time anomaly detection to adapt rapidly to emerging threats and vulnerabilities.</w:t>
      </w:r>
    </w:p>
    <w:p w14:paraId="77354178" w14:textId="77777777" w:rsidR="00A0087E" w:rsidRPr="00A0087E" w:rsidRDefault="00A0087E" w:rsidP="00A0087E">
      <w:r w:rsidRPr="00A0087E">
        <w:rPr>
          <w:b/>
          <w:bCs/>
        </w:rPr>
        <w:t>Results and Technical Benefits</w:t>
      </w:r>
    </w:p>
    <w:p w14:paraId="511D8C0F" w14:textId="77777777" w:rsidR="00A0087E" w:rsidRPr="00A0087E" w:rsidRDefault="00A0087E" w:rsidP="00A0087E">
      <w:pPr>
        <w:numPr>
          <w:ilvl w:val="0"/>
          <w:numId w:val="3"/>
        </w:numPr>
      </w:pPr>
      <w:r w:rsidRPr="00A0087E">
        <w:rPr>
          <w:b/>
          <w:bCs/>
        </w:rPr>
        <w:t>Enhanced Cryptographic Resilience:</w:t>
      </w:r>
      <w:r w:rsidRPr="00A0087E">
        <w:t xml:space="preserve"> Transitioning to lattice-based cryptography significantly mitigated risks from quantum decryption, ensuring long-term data security.</w:t>
      </w:r>
    </w:p>
    <w:p w14:paraId="7592F1D7" w14:textId="77777777" w:rsidR="00A0087E" w:rsidRPr="00A0087E" w:rsidRDefault="00A0087E" w:rsidP="00A0087E">
      <w:pPr>
        <w:numPr>
          <w:ilvl w:val="0"/>
          <w:numId w:val="3"/>
        </w:numPr>
      </w:pPr>
      <w:r w:rsidRPr="00A0087E">
        <w:rPr>
          <w:b/>
          <w:bCs/>
        </w:rPr>
        <w:t>Regulatory Compliance:</w:t>
      </w:r>
      <w:r w:rsidRPr="00A0087E">
        <w:t xml:space="preserve"> The hybrid encryption framework enabled the institution to meet and exceed emerging global and NIST security standards.</w:t>
      </w:r>
    </w:p>
    <w:p w14:paraId="2154AF81" w14:textId="77777777" w:rsidR="00A0087E" w:rsidRPr="00A0087E" w:rsidRDefault="00A0087E" w:rsidP="00A0087E">
      <w:pPr>
        <w:numPr>
          <w:ilvl w:val="0"/>
          <w:numId w:val="3"/>
        </w:numPr>
      </w:pPr>
      <w:r w:rsidRPr="00A0087E">
        <w:rPr>
          <w:b/>
          <w:bCs/>
        </w:rPr>
        <w:lastRenderedPageBreak/>
        <w:t>Operational Efficiency:</w:t>
      </w:r>
      <w:r w:rsidRPr="00A0087E">
        <w:t xml:space="preserve"> Through optimized middleware and hardware acceleration, the solution maintained high performance and minimal latency, ensuring business continuity.</w:t>
      </w:r>
    </w:p>
    <w:p w14:paraId="48DDBF01" w14:textId="77777777" w:rsidR="00A0087E" w:rsidRPr="00A0087E" w:rsidRDefault="00A0087E" w:rsidP="00A0087E">
      <w:pPr>
        <w:numPr>
          <w:ilvl w:val="0"/>
          <w:numId w:val="3"/>
        </w:numPr>
      </w:pPr>
      <w:r w:rsidRPr="00A0087E">
        <w:rPr>
          <w:b/>
          <w:bCs/>
        </w:rPr>
        <w:t>Future-Proofing:</w:t>
      </w:r>
      <w:r w:rsidRPr="00A0087E">
        <w:t xml:space="preserve"> The dual-layer approach not only secures current communications but also establishes a scalable framework adaptable to future quantum advancements.</w:t>
      </w:r>
    </w:p>
    <w:p w14:paraId="7DF56CB7" w14:textId="77777777" w:rsidR="00A0087E" w:rsidRPr="00A0087E" w:rsidRDefault="00A0087E" w:rsidP="00A0087E">
      <w:r w:rsidRPr="00A0087E">
        <w:rPr>
          <w:b/>
          <w:bCs/>
        </w:rPr>
        <w:t>Client Testimonial</w:t>
      </w:r>
      <w:r w:rsidRPr="00A0087E">
        <w:br/>
        <w:t>"</w:t>
      </w:r>
      <w:proofErr w:type="spellStart"/>
      <w:r w:rsidRPr="00A0087E">
        <w:t>Qryptonic’s</w:t>
      </w:r>
      <w:proofErr w:type="spellEnd"/>
      <w:r w:rsidRPr="00A0087E">
        <w:t xml:space="preserve"> technical acumen in integrating advanced, quantum-resistant cryptographic algorithms has fundamentally transformed our security infrastructure. Their solution not only meets today’s rigorous standards but is designed to counteract future quantum threats, ensuring that our sensitive data remains secure as the technological landscape evolves."</w:t>
      </w:r>
      <w:r w:rsidRPr="00A0087E">
        <w:br/>
        <w:t>— Chief Information Security Officer, Global Financial Institution</w:t>
      </w:r>
    </w:p>
    <w:p w14:paraId="4B58A323" w14:textId="77777777" w:rsidR="00A0087E" w:rsidRPr="00A0087E" w:rsidRDefault="00A0087E" w:rsidP="00A0087E">
      <w:r w:rsidRPr="00A0087E">
        <w:rPr>
          <w:b/>
          <w:bCs/>
        </w:rPr>
        <w:t>Conclusion</w:t>
      </w:r>
      <w:r w:rsidRPr="00A0087E">
        <w:br/>
        <w:t xml:space="preserve">This case study demonstrates the critical importance of proactive quantum-resistant security measures for high-risk industries. By deploying a hybrid encryption strategy, leveraging state-of-the-art lattice-based algorithms, and ensuring seamless integration with legacy systems, </w:t>
      </w:r>
      <w:proofErr w:type="spellStart"/>
      <w:r w:rsidRPr="00A0087E">
        <w:t>Qryptonic</w:t>
      </w:r>
      <w:proofErr w:type="spellEnd"/>
      <w:r w:rsidRPr="00A0087E">
        <w:t xml:space="preserve"> has provided a future-proof solution that addresses both current and emerging threats. As quantum computing continues to advance, such technical foresight will be essential for safeguarding digital assets and maintaining regulatory compliance.</w:t>
      </w:r>
    </w:p>
    <w:p w14:paraId="3D30391F" w14:textId="77777777" w:rsidR="00A3057B" w:rsidRDefault="00A3057B"/>
    <w:sectPr w:rsidR="00A3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D54A2"/>
    <w:multiLevelType w:val="multilevel"/>
    <w:tmpl w:val="35380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8693E"/>
    <w:multiLevelType w:val="multilevel"/>
    <w:tmpl w:val="8100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050331"/>
    <w:multiLevelType w:val="multilevel"/>
    <w:tmpl w:val="599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397157">
    <w:abstractNumId w:val="1"/>
  </w:num>
  <w:num w:numId="2" w16cid:durableId="737484744">
    <w:abstractNumId w:val="0"/>
  </w:num>
  <w:num w:numId="3" w16cid:durableId="190529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87E"/>
    <w:rsid w:val="008144ED"/>
    <w:rsid w:val="009B52AA"/>
    <w:rsid w:val="00A0087E"/>
    <w:rsid w:val="00A3057B"/>
    <w:rsid w:val="00AE4C80"/>
    <w:rsid w:val="00DA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AE5CF2"/>
  <w15:chartTrackingRefBased/>
  <w15:docId w15:val="{F4FD8F7E-43A5-4FBC-AFFC-50278F87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8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8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8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8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8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8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8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8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8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87E"/>
    <w:rPr>
      <w:rFonts w:eastAsiaTheme="majorEastAsia" w:cstheme="majorBidi"/>
      <w:color w:val="272727" w:themeColor="text1" w:themeTint="D8"/>
    </w:rPr>
  </w:style>
  <w:style w:type="paragraph" w:styleId="Title">
    <w:name w:val="Title"/>
    <w:basedOn w:val="Normal"/>
    <w:next w:val="Normal"/>
    <w:link w:val="TitleChar"/>
    <w:uiPriority w:val="10"/>
    <w:qFormat/>
    <w:rsid w:val="00A00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87E"/>
    <w:pPr>
      <w:spacing w:before="160"/>
      <w:jc w:val="center"/>
    </w:pPr>
    <w:rPr>
      <w:i/>
      <w:iCs/>
      <w:color w:val="404040" w:themeColor="text1" w:themeTint="BF"/>
    </w:rPr>
  </w:style>
  <w:style w:type="character" w:customStyle="1" w:styleId="QuoteChar">
    <w:name w:val="Quote Char"/>
    <w:basedOn w:val="DefaultParagraphFont"/>
    <w:link w:val="Quote"/>
    <w:uiPriority w:val="29"/>
    <w:rsid w:val="00A0087E"/>
    <w:rPr>
      <w:i/>
      <w:iCs/>
      <w:color w:val="404040" w:themeColor="text1" w:themeTint="BF"/>
    </w:rPr>
  </w:style>
  <w:style w:type="paragraph" w:styleId="ListParagraph">
    <w:name w:val="List Paragraph"/>
    <w:basedOn w:val="Normal"/>
    <w:uiPriority w:val="34"/>
    <w:qFormat/>
    <w:rsid w:val="00A0087E"/>
    <w:pPr>
      <w:ind w:left="720"/>
      <w:contextualSpacing/>
    </w:pPr>
  </w:style>
  <w:style w:type="character" w:styleId="IntenseEmphasis">
    <w:name w:val="Intense Emphasis"/>
    <w:basedOn w:val="DefaultParagraphFont"/>
    <w:uiPriority w:val="21"/>
    <w:qFormat/>
    <w:rsid w:val="00A0087E"/>
    <w:rPr>
      <w:i/>
      <w:iCs/>
      <w:color w:val="0F4761" w:themeColor="accent1" w:themeShade="BF"/>
    </w:rPr>
  </w:style>
  <w:style w:type="paragraph" w:styleId="IntenseQuote">
    <w:name w:val="Intense Quote"/>
    <w:basedOn w:val="Normal"/>
    <w:next w:val="Normal"/>
    <w:link w:val="IntenseQuoteChar"/>
    <w:uiPriority w:val="30"/>
    <w:qFormat/>
    <w:rsid w:val="00A008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87E"/>
    <w:rPr>
      <w:i/>
      <w:iCs/>
      <w:color w:val="0F4761" w:themeColor="accent1" w:themeShade="BF"/>
    </w:rPr>
  </w:style>
  <w:style w:type="character" w:styleId="IntenseReference">
    <w:name w:val="Intense Reference"/>
    <w:basedOn w:val="DefaultParagraphFont"/>
    <w:uiPriority w:val="32"/>
    <w:qFormat/>
    <w:rsid w:val="00A008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379557">
      <w:bodyDiv w:val="1"/>
      <w:marLeft w:val="0"/>
      <w:marRight w:val="0"/>
      <w:marTop w:val="0"/>
      <w:marBottom w:val="0"/>
      <w:divBdr>
        <w:top w:val="none" w:sz="0" w:space="0" w:color="auto"/>
        <w:left w:val="none" w:sz="0" w:space="0" w:color="auto"/>
        <w:bottom w:val="none" w:sz="0" w:space="0" w:color="auto"/>
        <w:right w:val="none" w:sz="0" w:space="0" w:color="auto"/>
      </w:divBdr>
    </w:div>
    <w:div w:id="8426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7DAA31A2EFC49B56B18AE44FB6A4C" ma:contentTypeVersion="12" ma:contentTypeDescription="Create a new document." ma:contentTypeScope="" ma:versionID="6d82348065a19bf9a622f390214f4bde">
  <xsd:schema xmlns:xsd="http://www.w3.org/2001/XMLSchema" xmlns:xs="http://www.w3.org/2001/XMLSchema" xmlns:p="http://schemas.microsoft.com/office/2006/metadata/properties" xmlns:ns2="46e250f9-be0e-4ce2-836d-a699299e8582" xmlns:ns3="25d26570-d69f-42d5-abc9-72d90bb2ec2a" targetNamespace="http://schemas.microsoft.com/office/2006/metadata/properties" ma:root="true" ma:fieldsID="8244c9d2fd8edd61c2fee8f0342c16e9" ns2:_="" ns3:_="">
    <xsd:import namespace="46e250f9-be0e-4ce2-836d-a699299e8582"/>
    <xsd:import namespace="25d26570-d69f-42d5-abc9-72d90bb2e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250f9-be0e-4ce2-836d-a699299e8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293c132-9db9-4492-a4e3-7e8fb702a3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26570-d69f-42d5-abc9-72d90bb2ec2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8035110-3e81-4135-bbd4-a879f3648009}" ma:internalName="TaxCatchAll" ma:showField="CatchAllData" ma:web="25d26570-d69f-42d5-abc9-72d90bb2ec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5d26570-d69f-42d5-abc9-72d90bb2ec2a" xsi:nil="true"/>
    <lcf76f155ced4ddcb4097134ff3c332f xmlns="46e250f9-be0e-4ce2-836d-a699299e85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8EE3193-E28B-4AC2-9500-2FBAC57DDF90}"/>
</file>

<file path=customXml/itemProps2.xml><?xml version="1.0" encoding="utf-8"?>
<ds:datastoreItem xmlns:ds="http://schemas.openxmlformats.org/officeDocument/2006/customXml" ds:itemID="{A51A1B7E-5147-4693-A6D3-1F56269F2EB6}"/>
</file>

<file path=customXml/itemProps3.xml><?xml version="1.0" encoding="utf-8"?>
<ds:datastoreItem xmlns:ds="http://schemas.openxmlformats.org/officeDocument/2006/customXml" ds:itemID="{D4304875-92FE-404E-895C-960AC5D2BA68}"/>
</file>

<file path=docProps/app.xml><?xml version="1.0" encoding="utf-8"?>
<Properties xmlns="http://schemas.openxmlformats.org/officeDocument/2006/extended-properties" xmlns:vt="http://schemas.openxmlformats.org/officeDocument/2006/docPropsVTypes">
  <Template>Normal</Template>
  <TotalTime>1</TotalTime>
  <Pages>3</Pages>
  <Words>597</Words>
  <Characters>4400</Characters>
  <Application>Microsoft Office Word</Application>
  <DocSecurity>0</DocSecurity>
  <Lines>83</Lines>
  <Paragraphs>29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dc:description/>
  <cp:lastModifiedBy>Tom Duffy</cp:lastModifiedBy>
  <cp:revision>1</cp:revision>
  <dcterms:created xsi:type="dcterms:W3CDTF">2025-03-13T14:00:00Z</dcterms:created>
  <dcterms:modified xsi:type="dcterms:W3CDTF">2025-03-13T14:01:00Z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17b3740c-597f-44f3-9108-0b9f9589eb0c</vt:lpwstr>
  </property>
  <property fmtid="{D5CDD505-2E9C-101B-9397-08002B2CF9AE}" pid="3" name="ContentTypeId">
    <vt:lpwstr>0x0101008B37DAA31A2EFC49B56B18AE44FB6A4C</vt:lpwstr>
  </property>
</Properties>
</file>