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4A962" w14:textId="77777777" w:rsidR="003F209E" w:rsidRDefault="003F209E" w:rsidP="00C52EC6">
      <w:pPr>
        <w:pStyle w:val="Logo"/>
        <w:tabs>
          <w:tab w:val="left" w:pos="6282"/>
        </w:tabs>
        <w:spacing w:before="0" w:after="0" w:line="276" w:lineRule="auto"/>
        <w:rPr>
          <w:lang w:eastAsia="en-US"/>
        </w:rPr>
      </w:pPr>
    </w:p>
    <w:p w14:paraId="7542C886" w14:textId="77777777" w:rsidR="003F209E" w:rsidRDefault="003F209E" w:rsidP="00C52EC6">
      <w:pPr>
        <w:pStyle w:val="Logo"/>
        <w:tabs>
          <w:tab w:val="left" w:pos="6282"/>
        </w:tabs>
        <w:spacing w:before="0" w:after="0" w:line="276" w:lineRule="auto"/>
        <w:rPr>
          <w:lang w:eastAsia="en-US"/>
        </w:rPr>
      </w:pPr>
    </w:p>
    <w:p w14:paraId="1E13B82A" w14:textId="77777777" w:rsidR="003F209E" w:rsidRDefault="003F209E" w:rsidP="00C52EC6">
      <w:pPr>
        <w:pStyle w:val="Logo"/>
        <w:tabs>
          <w:tab w:val="left" w:pos="6282"/>
        </w:tabs>
        <w:spacing w:before="0" w:after="0" w:line="276" w:lineRule="auto"/>
        <w:rPr>
          <w:lang w:eastAsia="en-US"/>
        </w:rPr>
      </w:pPr>
    </w:p>
    <w:p w14:paraId="758CE3EB" w14:textId="77777777" w:rsidR="00C52EC6" w:rsidRDefault="00AB298D" w:rsidP="00C52EC6">
      <w:pPr>
        <w:pStyle w:val="Logo"/>
        <w:tabs>
          <w:tab w:val="left" w:pos="6282"/>
        </w:tabs>
        <w:spacing w:before="0" w:after="0" w:line="276" w:lineRule="auto"/>
        <w:rPr>
          <w:lang w:eastAsia="en-US"/>
        </w:rPr>
      </w:pPr>
      <w:r>
        <w:rPr>
          <w:lang w:eastAsia="en-US"/>
        </w:rPr>
        <w:t>Analysis of Cognitive Score of Infants</w:t>
      </w:r>
    </w:p>
    <w:p w14:paraId="3910A535" w14:textId="77777777" w:rsidR="00C52EC6" w:rsidRDefault="00C52EC6" w:rsidP="00C52EC6">
      <w:pPr>
        <w:pStyle w:val="Logo"/>
        <w:tabs>
          <w:tab w:val="left" w:pos="6282"/>
        </w:tabs>
        <w:spacing w:before="0" w:after="0" w:line="276" w:lineRule="auto"/>
        <w:rPr>
          <w:lang w:eastAsia="en-US"/>
        </w:rPr>
      </w:pPr>
    </w:p>
    <w:p w14:paraId="4E9EBF64" w14:textId="77777777" w:rsidR="00C52EC6" w:rsidRPr="003F209E" w:rsidRDefault="00C52EC6" w:rsidP="00C52EC6">
      <w:pPr>
        <w:pStyle w:val="Logo"/>
        <w:tabs>
          <w:tab w:val="left" w:pos="6282"/>
        </w:tabs>
        <w:spacing w:before="0" w:after="0" w:line="276" w:lineRule="auto"/>
        <w:rPr>
          <w:sz w:val="48"/>
          <w:lang w:eastAsia="en-US"/>
        </w:rPr>
      </w:pPr>
    </w:p>
    <w:p w14:paraId="3B2130B3" w14:textId="77777777" w:rsidR="003F209E" w:rsidRDefault="003F209E" w:rsidP="00C52EC6">
      <w:pPr>
        <w:pStyle w:val="Logo"/>
        <w:tabs>
          <w:tab w:val="left" w:pos="6282"/>
        </w:tabs>
        <w:spacing w:before="0" w:after="0" w:line="276" w:lineRule="auto"/>
        <w:rPr>
          <w:sz w:val="38"/>
          <w:szCs w:val="38"/>
          <w:lang w:eastAsia="en-US"/>
        </w:rPr>
      </w:pPr>
    </w:p>
    <w:p w14:paraId="035626E9" w14:textId="77777777" w:rsidR="00C52EC6" w:rsidRPr="003F209E" w:rsidRDefault="00C52EC6" w:rsidP="00C52EC6">
      <w:pPr>
        <w:pStyle w:val="Logo"/>
        <w:tabs>
          <w:tab w:val="left" w:pos="6282"/>
        </w:tabs>
        <w:spacing w:before="0" w:after="0" w:line="276" w:lineRule="auto"/>
        <w:rPr>
          <w:sz w:val="38"/>
          <w:szCs w:val="38"/>
          <w:lang w:eastAsia="en-US"/>
        </w:rPr>
      </w:pPr>
      <w:r w:rsidRPr="003F209E">
        <w:rPr>
          <w:sz w:val="38"/>
          <w:szCs w:val="38"/>
          <w:lang w:eastAsia="en-US"/>
        </w:rPr>
        <w:t>PROBABILITY MODELS</w:t>
      </w:r>
    </w:p>
    <w:p w14:paraId="1B1F70FE" w14:textId="77777777" w:rsidR="00C52EC6" w:rsidRPr="003F209E" w:rsidRDefault="00C52EC6" w:rsidP="00C52EC6">
      <w:pPr>
        <w:pStyle w:val="Logo"/>
        <w:tabs>
          <w:tab w:val="left" w:pos="6282"/>
        </w:tabs>
        <w:spacing w:before="0" w:after="0" w:line="276" w:lineRule="auto"/>
        <w:rPr>
          <w:sz w:val="38"/>
          <w:szCs w:val="38"/>
          <w:lang w:eastAsia="en-US"/>
        </w:rPr>
      </w:pPr>
      <w:r w:rsidRPr="003F209E">
        <w:rPr>
          <w:sz w:val="38"/>
          <w:szCs w:val="38"/>
          <w:lang w:eastAsia="en-US"/>
        </w:rPr>
        <w:t>BANA 7031 - 002</w:t>
      </w:r>
    </w:p>
    <w:p w14:paraId="203E8A88" w14:textId="77777777" w:rsidR="00C52EC6" w:rsidRDefault="00C52EC6" w:rsidP="00C52EC6">
      <w:pPr>
        <w:pStyle w:val="Logo"/>
        <w:tabs>
          <w:tab w:val="left" w:pos="6282"/>
        </w:tabs>
        <w:spacing w:before="0" w:after="0" w:line="276" w:lineRule="auto"/>
        <w:rPr>
          <w:lang w:eastAsia="en-US"/>
        </w:rPr>
      </w:pPr>
    </w:p>
    <w:p w14:paraId="1A55371C" w14:textId="77777777" w:rsidR="003F209E" w:rsidRDefault="003F209E" w:rsidP="003F209E">
      <w:pPr>
        <w:jc w:val="right"/>
        <w:rPr>
          <w:noProof/>
          <w:sz w:val="32"/>
        </w:rPr>
      </w:pPr>
    </w:p>
    <w:p w14:paraId="522FED62" w14:textId="77777777" w:rsidR="003F209E" w:rsidRDefault="003F209E" w:rsidP="003F209E">
      <w:pPr>
        <w:jc w:val="right"/>
        <w:rPr>
          <w:noProof/>
          <w:sz w:val="32"/>
        </w:rPr>
      </w:pPr>
    </w:p>
    <w:p w14:paraId="13B2BBFF" w14:textId="77777777" w:rsidR="00907CBB" w:rsidRDefault="003F209E" w:rsidP="003F209E">
      <w:pPr>
        <w:jc w:val="right"/>
        <w:rPr>
          <w:noProof/>
          <w:sz w:val="32"/>
        </w:rPr>
      </w:pPr>
      <w:r w:rsidRPr="003F209E">
        <w:rPr>
          <w:noProof/>
          <w:sz w:val="32"/>
        </w:rPr>
        <w:t>Presented by</w:t>
      </w:r>
    </w:p>
    <w:p w14:paraId="4AE2CE9F" w14:textId="77777777" w:rsidR="003F209E" w:rsidRDefault="003F209E" w:rsidP="003F209E">
      <w:pPr>
        <w:jc w:val="right"/>
        <w:rPr>
          <w:noProof/>
          <w:sz w:val="32"/>
        </w:rPr>
      </w:pPr>
      <w:r>
        <w:rPr>
          <w:noProof/>
          <w:sz w:val="32"/>
        </w:rPr>
        <w:t>Pati, Pruthvi Ranjan Reddy – M12908411</w:t>
      </w:r>
    </w:p>
    <w:p w14:paraId="7A1D914F" w14:textId="77777777" w:rsidR="003F209E" w:rsidRDefault="003F209E" w:rsidP="003F209E">
      <w:pPr>
        <w:jc w:val="right"/>
        <w:rPr>
          <w:noProof/>
          <w:sz w:val="32"/>
        </w:rPr>
      </w:pPr>
      <w:r>
        <w:rPr>
          <w:noProof/>
          <w:sz w:val="32"/>
        </w:rPr>
        <w:t>Tammineedi, Mahitha Sree – M12789619</w:t>
      </w:r>
    </w:p>
    <w:p w14:paraId="5B5C84F3" w14:textId="77777777" w:rsidR="003F209E" w:rsidRPr="003F209E" w:rsidRDefault="003F209E" w:rsidP="003F209E">
      <w:pPr>
        <w:jc w:val="right"/>
        <w:rPr>
          <w:noProof/>
          <w:sz w:val="32"/>
        </w:rPr>
      </w:pPr>
    </w:p>
    <w:p w14:paraId="076544DC" w14:textId="77777777" w:rsidR="00922FB8" w:rsidRDefault="00922FB8" w:rsidP="00E279B8">
      <w:pPr>
        <w:rPr>
          <w:noProof/>
        </w:rPr>
      </w:pPr>
    </w:p>
    <w:p w14:paraId="530F5296" w14:textId="77777777" w:rsidR="00423432" w:rsidRDefault="00423432" w:rsidP="00E279B8">
      <w:pPr>
        <w:rPr>
          <w:noProof/>
        </w:rPr>
      </w:pPr>
    </w:p>
    <w:p w14:paraId="0DE013D8" w14:textId="77777777" w:rsidR="00423432" w:rsidRDefault="00423432" w:rsidP="00E279B8">
      <w:pPr>
        <w:rPr>
          <w:noProof/>
        </w:rPr>
      </w:pPr>
    </w:p>
    <w:p w14:paraId="686606A7" w14:textId="77777777" w:rsidR="00423432" w:rsidRDefault="00423432" w:rsidP="00E279B8">
      <w:pPr>
        <w:rPr>
          <w:noProof/>
        </w:rPr>
      </w:pPr>
    </w:p>
    <w:p w14:paraId="2D1A35EC" w14:textId="77777777" w:rsidR="00423432" w:rsidRDefault="00423432" w:rsidP="00E279B8">
      <w:pPr>
        <w:rPr>
          <w:noProof/>
        </w:rPr>
      </w:pPr>
    </w:p>
    <w:p w14:paraId="61935EDF" w14:textId="77777777" w:rsidR="00423432" w:rsidRDefault="00423432" w:rsidP="00E279B8">
      <w:pPr>
        <w:rPr>
          <w:noProof/>
        </w:rPr>
      </w:pPr>
    </w:p>
    <w:p w14:paraId="6DAB7D6E" w14:textId="77777777" w:rsidR="00423432" w:rsidRDefault="00423432" w:rsidP="00E279B8">
      <w:pPr>
        <w:rPr>
          <w:noProof/>
        </w:rPr>
      </w:pPr>
    </w:p>
    <w:p w14:paraId="66F7DECB" w14:textId="77777777" w:rsidR="00423432" w:rsidRDefault="00423432" w:rsidP="00E279B8">
      <w:pPr>
        <w:rPr>
          <w:noProof/>
        </w:rPr>
      </w:pPr>
    </w:p>
    <w:p w14:paraId="4E2AF912" w14:textId="77777777" w:rsidR="001D3FFE" w:rsidRDefault="001D3FFE" w:rsidP="001D3FFE">
      <w:pPr>
        <w:pStyle w:val="Heading1"/>
        <w:numPr>
          <w:ilvl w:val="0"/>
          <w:numId w:val="12"/>
        </w:numPr>
        <w:rPr>
          <w:noProof/>
        </w:rPr>
      </w:pPr>
      <w:r>
        <w:rPr>
          <w:noProof/>
        </w:rPr>
        <w:lastRenderedPageBreak/>
        <w:t>DATA</w:t>
      </w:r>
    </w:p>
    <w:p w14:paraId="21E1B7F8" w14:textId="0FD4B01B" w:rsidR="00085358" w:rsidRDefault="001D3FFE" w:rsidP="00913AC4">
      <w:pPr>
        <w:jc w:val="both"/>
        <w:rPr>
          <w:sz w:val="24"/>
          <w:szCs w:val="24"/>
        </w:rPr>
      </w:pPr>
      <w:r w:rsidRPr="001D3FFE">
        <w:rPr>
          <w:sz w:val="24"/>
          <w:szCs w:val="24"/>
        </w:rPr>
        <w:t xml:space="preserve">The dataset used in this project contains </w:t>
      </w:r>
      <w:r>
        <w:rPr>
          <w:sz w:val="24"/>
          <w:szCs w:val="24"/>
        </w:rPr>
        <w:t>data on cognitive scores of infants in a study of early childhood intervention. There are 58 infants each in treatment and control group whose cognitive scores are recorded at ages 1,1.5, and 2 years</w:t>
      </w:r>
      <w:r w:rsidR="00085358">
        <w:rPr>
          <w:sz w:val="24"/>
          <w:szCs w:val="24"/>
        </w:rPr>
        <w:t>.</w:t>
      </w:r>
      <w:r w:rsidR="004725B2">
        <w:rPr>
          <w:sz w:val="24"/>
          <w:szCs w:val="24"/>
        </w:rPr>
        <w:t xml:space="preserve"> There are 309 rows and 4 columns in the dataset.</w:t>
      </w:r>
    </w:p>
    <w:p w14:paraId="6B5B6A07" w14:textId="77777777" w:rsidR="00085358" w:rsidRDefault="00085358" w:rsidP="00913AC4">
      <w:pPr>
        <w:jc w:val="both"/>
        <w:rPr>
          <w:sz w:val="24"/>
          <w:szCs w:val="24"/>
        </w:rPr>
      </w:pPr>
      <w:r>
        <w:rPr>
          <w:sz w:val="24"/>
          <w:szCs w:val="24"/>
        </w:rPr>
        <w:t>The columns in the data are as follows</w:t>
      </w:r>
      <w:r w:rsidR="00427BEF">
        <w:rPr>
          <w:sz w:val="24"/>
          <w:szCs w:val="24"/>
        </w:rPr>
        <w:t>:</w:t>
      </w:r>
    </w:p>
    <w:tbl>
      <w:tblPr>
        <w:tblStyle w:val="TableGrid"/>
        <w:tblW w:w="0" w:type="auto"/>
        <w:tblInd w:w="72" w:type="dxa"/>
        <w:tblLook w:val="04A0" w:firstRow="1" w:lastRow="0" w:firstColumn="1" w:lastColumn="0" w:noHBand="0" w:noVBand="1"/>
      </w:tblPr>
      <w:tblGrid>
        <w:gridCol w:w="1273"/>
        <w:gridCol w:w="8005"/>
      </w:tblGrid>
      <w:tr w:rsidR="00085358" w14:paraId="24F5E592" w14:textId="77777777" w:rsidTr="00BF4602">
        <w:tc>
          <w:tcPr>
            <w:tcW w:w="1273" w:type="dxa"/>
            <w:shd w:val="clear" w:color="auto" w:fill="BED3E4" w:themeFill="accent1" w:themeFillTint="99"/>
          </w:tcPr>
          <w:p w14:paraId="2CFF6C94" w14:textId="77777777" w:rsidR="00085358" w:rsidRPr="00BF4602" w:rsidRDefault="00085358" w:rsidP="00913AC4">
            <w:pPr>
              <w:ind w:left="0"/>
              <w:jc w:val="both"/>
              <w:rPr>
                <w:b/>
                <w:sz w:val="24"/>
                <w:szCs w:val="24"/>
              </w:rPr>
            </w:pPr>
            <w:r w:rsidRPr="00BF4602">
              <w:rPr>
                <w:b/>
                <w:sz w:val="24"/>
                <w:szCs w:val="24"/>
              </w:rPr>
              <w:t>Name</w:t>
            </w:r>
          </w:p>
        </w:tc>
        <w:tc>
          <w:tcPr>
            <w:tcW w:w="8005" w:type="dxa"/>
            <w:shd w:val="clear" w:color="auto" w:fill="BED3E4" w:themeFill="accent1" w:themeFillTint="99"/>
          </w:tcPr>
          <w:p w14:paraId="5DF5421B" w14:textId="77777777" w:rsidR="00085358" w:rsidRPr="00BF4602" w:rsidRDefault="00085358" w:rsidP="00913AC4">
            <w:pPr>
              <w:ind w:left="0"/>
              <w:jc w:val="both"/>
              <w:rPr>
                <w:b/>
                <w:sz w:val="24"/>
                <w:szCs w:val="24"/>
              </w:rPr>
            </w:pPr>
            <w:r w:rsidRPr="00BF4602">
              <w:rPr>
                <w:b/>
                <w:sz w:val="24"/>
                <w:szCs w:val="24"/>
              </w:rPr>
              <w:t>Description</w:t>
            </w:r>
          </w:p>
        </w:tc>
      </w:tr>
      <w:tr w:rsidR="00085358" w14:paraId="481309DC" w14:textId="77777777" w:rsidTr="00FD0FBC">
        <w:tc>
          <w:tcPr>
            <w:tcW w:w="1273" w:type="dxa"/>
          </w:tcPr>
          <w:p w14:paraId="0874CAC3" w14:textId="22BD3EC5" w:rsidR="00085358" w:rsidRDefault="00CB32DA" w:rsidP="00913AC4">
            <w:pPr>
              <w:ind w:left="0"/>
              <w:jc w:val="both"/>
              <w:rPr>
                <w:sz w:val="24"/>
                <w:szCs w:val="24"/>
              </w:rPr>
            </w:pPr>
            <w:r>
              <w:rPr>
                <w:sz w:val="24"/>
                <w:szCs w:val="24"/>
              </w:rPr>
              <w:t>I</w:t>
            </w:r>
            <w:r w:rsidR="00085358">
              <w:rPr>
                <w:sz w:val="24"/>
                <w:szCs w:val="24"/>
              </w:rPr>
              <w:t>d</w:t>
            </w:r>
          </w:p>
        </w:tc>
        <w:tc>
          <w:tcPr>
            <w:tcW w:w="8005" w:type="dxa"/>
          </w:tcPr>
          <w:p w14:paraId="03936193" w14:textId="77777777" w:rsidR="00085358" w:rsidRDefault="00085358" w:rsidP="00913AC4">
            <w:pPr>
              <w:jc w:val="both"/>
              <w:rPr>
                <w:sz w:val="24"/>
                <w:szCs w:val="24"/>
              </w:rPr>
            </w:pPr>
            <w:r w:rsidRPr="00085358">
              <w:rPr>
                <w:sz w:val="24"/>
                <w:szCs w:val="24"/>
              </w:rPr>
              <w:t>An ordered factor of the id number for each infant</w:t>
            </w:r>
          </w:p>
        </w:tc>
      </w:tr>
      <w:tr w:rsidR="00085358" w14:paraId="02320BAA" w14:textId="77777777" w:rsidTr="00FD0FBC">
        <w:tc>
          <w:tcPr>
            <w:tcW w:w="1273" w:type="dxa"/>
          </w:tcPr>
          <w:p w14:paraId="1D6E2560" w14:textId="7DC69433" w:rsidR="00085358" w:rsidRDefault="00CB32DA" w:rsidP="00913AC4">
            <w:pPr>
              <w:ind w:left="0"/>
              <w:jc w:val="both"/>
              <w:rPr>
                <w:sz w:val="24"/>
                <w:szCs w:val="24"/>
              </w:rPr>
            </w:pPr>
            <w:r>
              <w:rPr>
                <w:sz w:val="24"/>
                <w:szCs w:val="24"/>
              </w:rPr>
              <w:t>C</w:t>
            </w:r>
            <w:r w:rsidR="00085358">
              <w:rPr>
                <w:sz w:val="24"/>
                <w:szCs w:val="24"/>
              </w:rPr>
              <w:t>og</w:t>
            </w:r>
          </w:p>
        </w:tc>
        <w:tc>
          <w:tcPr>
            <w:tcW w:w="8005" w:type="dxa"/>
          </w:tcPr>
          <w:p w14:paraId="259C8F4C" w14:textId="77777777" w:rsidR="00085358" w:rsidRDefault="00085358" w:rsidP="00913AC4">
            <w:pPr>
              <w:jc w:val="both"/>
              <w:rPr>
                <w:sz w:val="24"/>
                <w:szCs w:val="24"/>
              </w:rPr>
            </w:pPr>
            <w:r w:rsidRPr="00085358">
              <w:rPr>
                <w:sz w:val="24"/>
                <w:szCs w:val="24"/>
              </w:rPr>
              <w:t>A numeric cognitive score</w:t>
            </w:r>
          </w:p>
        </w:tc>
      </w:tr>
      <w:tr w:rsidR="00085358" w14:paraId="166D494B" w14:textId="77777777" w:rsidTr="00FD0FBC">
        <w:tc>
          <w:tcPr>
            <w:tcW w:w="1273" w:type="dxa"/>
          </w:tcPr>
          <w:p w14:paraId="54F61CF2" w14:textId="47FB3907" w:rsidR="00085358" w:rsidRDefault="00CB32DA" w:rsidP="00913AC4">
            <w:pPr>
              <w:ind w:left="0"/>
              <w:jc w:val="both"/>
              <w:rPr>
                <w:sz w:val="24"/>
                <w:szCs w:val="24"/>
              </w:rPr>
            </w:pPr>
            <w:r>
              <w:rPr>
                <w:sz w:val="24"/>
                <w:szCs w:val="24"/>
              </w:rPr>
              <w:t>A</w:t>
            </w:r>
            <w:r w:rsidR="00085358">
              <w:rPr>
                <w:sz w:val="24"/>
                <w:szCs w:val="24"/>
              </w:rPr>
              <w:t>ge</w:t>
            </w:r>
          </w:p>
        </w:tc>
        <w:tc>
          <w:tcPr>
            <w:tcW w:w="8005" w:type="dxa"/>
          </w:tcPr>
          <w:p w14:paraId="00C165DC" w14:textId="77777777" w:rsidR="00085358" w:rsidRDefault="00085358" w:rsidP="00913AC4">
            <w:pPr>
              <w:jc w:val="both"/>
              <w:rPr>
                <w:sz w:val="24"/>
                <w:szCs w:val="24"/>
              </w:rPr>
            </w:pPr>
            <w:r w:rsidRPr="00085358">
              <w:rPr>
                <w:sz w:val="24"/>
                <w:szCs w:val="24"/>
              </w:rPr>
              <w:t>The age of the infant at the measurement</w:t>
            </w:r>
          </w:p>
        </w:tc>
      </w:tr>
      <w:tr w:rsidR="00085358" w14:paraId="5F471212" w14:textId="77777777" w:rsidTr="00FD0FBC">
        <w:tc>
          <w:tcPr>
            <w:tcW w:w="1273" w:type="dxa"/>
          </w:tcPr>
          <w:p w14:paraId="79A187B4" w14:textId="77777777" w:rsidR="00085358" w:rsidRDefault="009D1DC4" w:rsidP="00913AC4">
            <w:pPr>
              <w:ind w:left="0"/>
              <w:jc w:val="both"/>
              <w:rPr>
                <w:sz w:val="24"/>
                <w:szCs w:val="24"/>
              </w:rPr>
            </w:pPr>
            <w:proofErr w:type="spellStart"/>
            <w:r>
              <w:rPr>
                <w:sz w:val="24"/>
                <w:szCs w:val="24"/>
              </w:rPr>
              <w:t>T</w:t>
            </w:r>
            <w:r w:rsidR="00085358">
              <w:rPr>
                <w:sz w:val="24"/>
                <w:szCs w:val="24"/>
              </w:rPr>
              <w:t>rt</w:t>
            </w:r>
            <w:proofErr w:type="spellEnd"/>
          </w:p>
        </w:tc>
        <w:tc>
          <w:tcPr>
            <w:tcW w:w="8005" w:type="dxa"/>
          </w:tcPr>
          <w:p w14:paraId="44DFF858" w14:textId="77777777" w:rsidR="00085358" w:rsidRDefault="00085358" w:rsidP="00913AC4">
            <w:pPr>
              <w:jc w:val="both"/>
              <w:rPr>
                <w:sz w:val="24"/>
                <w:szCs w:val="24"/>
              </w:rPr>
            </w:pPr>
            <w:r w:rsidRPr="00085358">
              <w:rPr>
                <w:sz w:val="24"/>
                <w:szCs w:val="24"/>
              </w:rPr>
              <w:t>A factor with two levels, "N" and "Y", indicating if the infant is in the early childhood intervention program</w:t>
            </w:r>
          </w:p>
        </w:tc>
      </w:tr>
    </w:tbl>
    <w:p w14:paraId="01B2F650" w14:textId="77777777" w:rsidR="00230933" w:rsidRPr="00230933" w:rsidRDefault="00230933" w:rsidP="00913AC4">
      <w:pPr>
        <w:jc w:val="both"/>
        <w:rPr>
          <w:sz w:val="8"/>
          <w:szCs w:val="24"/>
        </w:rPr>
      </w:pPr>
    </w:p>
    <w:p w14:paraId="77520E5C" w14:textId="1D66896E" w:rsidR="00706267" w:rsidRDefault="00706267" w:rsidP="00913AC4">
      <w:pPr>
        <w:jc w:val="both"/>
        <w:rPr>
          <w:sz w:val="24"/>
          <w:szCs w:val="24"/>
        </w:rPr>
      </w:pPr>
      <w:r>
        <w:rPr>
          <w:sz w:val="24"/>
          <w:szCs w:val="24"/>
        </w:rPr>
        <w:t xml:space="preserve">A new column ‘High’ is defined which has two levels – 1 or 0 depending </w:t>
      </w:r>
      <w:r w:rsidR="00587F8F">
        <w:rPr>
          <w:sz w:val="24"/>
          <w:szCs w:val="24"/>
        </w:rPr>
        <w:t>whether the cognitive s</w:t>
      </w:r>
      <w:r w:rsidR="00AB2842">
        <w:rPr>
          <w:sz w:val="24"/>
          <w:szCs w:val="24"/>
        </w:rPr>
        <w:t>cor</w:t>
      </w:r>
      <w:r w:rsidR="00587F8F">
        <w:rPr>
          <w:sz w:val="24"/>
          <w:szCs w:val="24"/>
        </w:rPr>
        <w:t>e is greater than or equal to 110.</w:t>
      </w:r>
    </w:p>
    <w:p w14:paraId="56E05CD3" w14:textId="77777777" w:rsidR="002625D9" w:rsidRDefault="002625D9" w:rsidP="00913AC4">
      <w:pPr>
        <w:pStyle w:val="Heading1"/>
        <w:ind w:left="432"/>
        <w:jc w:val="both"/>
      </w:pPr>
    </w:p>
    <w:p w14:paraId="21FDD210" w14:textId="055D8794" w:rsidR="00F164CA" w:rsidRDefault="00F164CA" w:rsidP="00913AC4">
      <w:pPr>
        <w:pStyle w:val="Heading1"/>
        <w:numPr>
          <w:ilvl w:val="0"/>
          <w:numId w:val="12"/>
        </w:numPr>
        <w:jc w:val="both"/>
      </w:pPr>
      <w:r>
        <w:t>PROJECT SUMMARY</w:t>
      </w:r>
    </w:p>
    <w:p w14:paraId="5109F342" w14:textId="03C96113" w:rsidR="007312BC" w:rsidRPr="00896DF4" w:rsidRDefault="00896DF4" w:rsidP="00913AC4">
      <w:pPr>
        <w:jc w:val="both"/>
      </w:pPr>
      <w:r>
        <w:t xml:space="preserve">The project aims at understanding the cognitive scores of infants using various statistical methods. </w:t>
      </w:r>
      <w:r w:rsidR="007312BC" w:rsidRPr="00751103">
        <w:rPr>
          <w:sz w:val="24"/>
          <w:szCs w:val="24"/>
        </w:rPr>
        <w:t xml:space="preserve">Cognitive scores are </w:t>
      </w:r>
      <w:proofErr w:type="gramStart"/>
      <w:r w:rsidR="007312BC" w:rsidRPr="00751103">
        <w:rPr>
          <w:sz w:val="24"/>
          <w:szCs w:val="24"/>
        </w:rPr>
        <w:t>analyzed</w:t>
      </w:r>
      <w:proofErr w:type="gramEnd"/>
      <w:r w:rsidR="007312BC" w:rsidRPr="00751103">
        <w:rPr>
          <w:sz w:val="24"/>
          <w:szCs w:val="24"/>
        </w:rPr>
        <w:t xml:space="preserve"> and the distribution is found to be close to normal as inferred from the </w:t>
      </w:r>
      <w:proofErr w:type="spellStart"/>
      <w:r w:rsidR="007312BC" w:rsidRPr="00751103">
        <w:rPr>
          <w:sz w:val="24"/>
          <w:szCs w:val="24"/>
        </w:rPr>
        <w:t>qq</w:t>
      </w:r>
      <w:proofErr w:type="spellEnd"/>
      <w:r w:rsidR="007312BC" w:rsidRPr="00751103">
        <w:rPr>
          <w:sz w:val="24"/>
          <w:szCs w:val="24"/>
        </w:rPr>
        <w:t>-plot. Cumulative distribution function is plotted using Empirical CDF with a 95% confidence band. We performed Wald test to test whether the average cognitive scores of treatment group is equal to average cognitive score of control group. A 95% confidence interval of difference in average cognitive scores of treatment and control groups is calculated using MLE and bootstrap. Bayesian analysis is done to obtain the posterior distribution of proportion of infants with High cognitive scores considering a beta prior distribution. All the above analysis is done</w:t>
      </w:r>
      <w:r w:rsidR="0003505F">
        <w:rPr>
          <w:sz w:val="24"/>
          <w:szCs w:val="24"/>
        </w:rPr>
        <w:t xml:space="preserve"> </w:t>
      </w:r>
      <w:r w:rsidR="0009326D">
        <w:rPr>
          <w:sz w:val="24"/>
          <w:szCs w:val="24"/>
        </w:rPr>
        <w:t xml:space="preserve">for </w:t>
      </w:r>
      <w:r w:rsidR="00452589">
        <w:rPr>
          <w:sz w:val="24"/>
          <w:szCs w:val="24"/>
        </w:rPr>
        <w:t xml:space="preserve">infants </w:t>
      </w:r>
      <w:r w:rsidR="0090248F">
        <w:rPr>
          <w:sz w:val="24"/>
          <w:szCs w:val="24"/>
        </w:rPr>
        <w:t>aged 1</w:t>
      </w:r>
      <w:r w:rsidR="003205DC">
        <w:rPr>
          <w:sz w:val="24"/>
          <w:szCs w:val="24"/>
        </w:rPr>
        <w:t>.</w:t>
      </w:r>
      <w:r w:rsidR="0090248F">
        <w:rPr>
          <w:sz w:val="24"/>
          <w:szCs w:val="24"/>
        </w:rPr>
        <w:t>5</w:t>
      </w:r>
      <w:r w:rsidR="00556735">
        <w:rPr>
          <w:sz w:val="24"/>
          <w:szCs w:val="24"/>
        </w:rPr>
        <w:t xml:space="preserve"> years</w:t>
      </w:r>
      <w:r w:rsidR="00FE10BA">
        <w:rPr>
          <w:sz w:val="24"/>
          <w:szCs w:val="24"/>
        </w:rPr>
        <w:t>.</w:t>
      </w:r>
    </w:p>
    <w:p w14:paraId="74DF2307" w14:textId="77777777" w:rsidR="00F5613C" w:rsidRPr="00F5613C" w:rsidRDefault="00F5613C" w:rsidP="00913AC4">
      <w:pPr>
        <w:jc w:val="both"/>
      </w:pPr>
    </w:p>
    <w:p w14:paraId="2F4FB8CF" w14:textId="77777777" w:rsidR="00F164CA" w:rsidRPr="00F164CA" w:rsidRDefault="00F164CA" w:rsidP="00913AC4">
      <w:pPr>
        <w:pStyle w:val="Heading1"/>
        <w:numPr>
          <w:ilvl w:val="0"/>
          <w:numId w:val="12"/>
        </w:numPr>
        <w:jc w:val="both"/>
      </w:pPr>
      <w:r>
        <w:t>Analysis</w:t>
      </w:r>
    </w:p>
    <w:p w14:paraId="20719B04" w14:textId="7DB4E4C0" w:rsidR="00F164CA" w:rsidRDefault="00F164CA" w:rsidP="00913AC4">
      <w:pPr>
        <w:pStyle w:val="Heading2"/>
        <w:numPr>
          <w:ilvl w:val="1"/>
          <w:numId w:val="15"/>
        </w:numPr>
        <w:tabs>
          <w:tab w:val="left" w:pos="990"/>
        </w:tabs>
        <w:ind w:left="810" w:hanging="522"/>
        <w:jc w:val="both"/>
      </w:pPr>
      <w:r>
        <w:t>DISTRIBUTION OF COGNITIVE SCOREs</w:t>
      </w:r>
    </w:p>
    <w:p w14:paraId="1FB8A4D2" w14:textId="06349E52" w:rsidR="007312BC" w:rsidRPr="00B8161F" w:rsidRDefault="00E91FEE" w:rsidP="00913AC4">
      <w:pPr>
        <w:ind w:left="810"/>
        <w:jc w:val="both"/>
        <w:rPr>
          <w:sz w:val="24"/>
          <w:szCs w:val="24"/>
        </w:rPr>
      </w:pPr>
      <w:r w:rsidRPr="00B8161F">
        <w:rPr>
          <w:sz w:val="24"/>
          <w:szCs w:val="24"/>
        </w:rPr>
        <w:t xml:space="preserve">To </w:t>
      </w:r>
      <w:r w:rsidR="00FE10BA" w:rsidRPr="00B8161F">
        <w:rPr>
          <w:sz w:val="24"/>
          <w:szCs w:val="24"/>
        </w:rPr>
        <w:t xml:space="preserve">understand the distribution of </w:t>
      </w:r>
      <w:r w:rsidR="00451B4D" w:rsidRPr="00B8161F">
        <w:rPr>
          <w:sz w:val="24"/>
          <w:szCs w:val="24"/>
        </w:rPr>
        <w:t xml:space="preserve">cognitive scores of infants aged 1.5 </w:t>
      </w:r>
      <w:r w:rsidR="00B8161F" w:rsidRPr="00B8161F">
        <w:rPr>
          <w:sz w:val="24"/>
          <w:szCs w:val="24"/>
        </w:rPr>
        <w:t>years,</w:t>
      </w:r>
      <w:r w:rsidR="00451B4D" w:rsidRPr="00B8161F">
        <w:rPr>
          <w:sz w:val="24"/>
          <w:szCs w:val="24"/>
        </w:rPr>
        <w:t xml:space="preserve"> a histogram and </w:t>
      </w:r>
      <w:proofErr w:type="spellStart"/>
      <w:r w:rsidR="00451B4D" w:rsidRPr="00B8161F">
        <w:rPr>
          <w:sz w:val="24"/>
          <w:szCs w:val="24"/>
        </w:rPr>
        <w:t>qq</w:t>
      </w:r>
      <w:proofErr w:type="spellEnd"/>
      <w:r w:rsidR="00451B4D" w:rsidRPr="00B8161F">
        <w:rPr>
          <w:sz w:val="24"/>
          <w:szCs w:val="24"/>
        </w:rPr>
        <w:t>-plot is plotted. From the below plots we infer that the distribution is close to normal.</w:t>
      </w:r>
    </w:p>
    <w:p w14:paraId="09FA3973" w14:textId="5F7AAB5F" w:rsidR="009636F0" w:rsidRDefault="009636F0" w:rsidP="00913AC4">
      <w:pPr>
        <w:ind w:left="810"/>
        <w:jc w:val="both"/>
      </w:pPr>
    </w:p>
    <w:p w14:paraId="000D3701" w14:textId="50B1176C" w:rsidR="009636F0" w:rsidRDefault="009636F0" w:rsidP="00913AC4">
      <w:pPr>
        <w:ind w:left="810"/>
        <w:jc w:val="both"/>
      </w:pPr>
      <w:r>
        <w:rPr>
          <w:noProof/>
        </w:rPr>
        <w:lastRenderedPageBreak/>
        <w:drawing>
          <wp:inline distT="0" distB="0" distL="0" distR="0" wp14:anchorId="2AC9FC23" wp14:editId="0FAEDA87">
            <wp:extent cx="2347094" cy="18789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2566" cy="1907362"/>
                    </a:xfrm>
                    <a:prstGeom prst="rect">
                      <a:avLst/>
                    </a:prstGeom>
                    <a:noFill/>
                    <a:ln>
                      <a:noFill/>
                    </a:ln>
                  </pic:spPr>
                </pic:pic>
              </a:graphicData>
            </a:graphic>
          </wp:inline>
        </w:drawing>
      </w:r>
      <w:r>
        <w:t xml:space="preserve">   </w:t>
      </w:r>
      <w:r w:rsidRPr="009636F0">
        <w:rPr>
          <w:noProof/>
        </w:rPr>
        <w:drawing>
          <wp:inline distT="0" distB="0" distL="0" distR="0" wp14:anchorId="34F4B491" wp14:editId="72AEBF6D">
            <wp:extent cx="2904066" cy="182015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5768" cy="1840024"/>
                    </a:xfrm>
                    <a:prstGeom prst="rect">
                      <a:avLst/>
                    </a:prstGeom>
                  </pic:spPr>
                </pic:pic>
              </a:graphicData>
            </a:graphic>
          </wp:inline>
        </w:drawing>
      </w:r>
    </w:p>
    <w:p w14:paraId="76A61A05" w14:textId="0D1F7CA9" w:rsidR="00676855" w:rsidRPr="009D079F" w:rsidRDefault="00676855" w:rsidP="00913AC4">
      <w:pPr>
        <w:ind w:left="810"/>
        <w:jc w:val="both"/>
        <w:rPr>
          <w:sz w:val="24"/>
        </w:rPr>
      </w:pPr>
      <w:r w:rsidRPr="009D079F">
        <w:rPr>
          <w:sz w:val="24"/>
        </w:rPr>
        <w:t>Empirical cumulative distribution and the 95% confidence band of the cognitive scores of infants (Age 1.5) is as shown below.</w:t>
      </w:r>
    </w:p>
    <w:p w14:paraId="571CA8AB" w14:textId="6FF14D1B" w:rsidR="009636F0" w:rsidRDefault="009636F0" w:rsidP="00913AC4">
      <w:pPr>
        <w:ind w:left="810"/>
        <w:jc w:val="both"/>
      </w:pPr>
    </w:p>
    <w:p w14:paraId="0DACC212" w14:textId="2C801E28" w:rsidR="00A052D0" w:rsidRDefault="009636F0" w:rsidP="00913AC4">
      <w:pPr>
        <w:jc w:val="both"/>
      </w:pPr>
      <w:r>
        <w:t xml:space="preserve">               </w:t>
      </w:r>
      <w:r w:rsidR="000C2496">
        <w:t xml:space="preserve">         </w:t>
      </w:r>
      <w:r>
        <w:t xml:space="preserve">    </w:t>
      </w:r>
      <w:r>
        <w:rPr>
          <w:noProof/>
        </w:rPr>
        <w:drawing>
          <wp:inline distT="0" distB="0" distL="0" distR="0" wp14:anchorId="4A771D1F" wp14:editId="56A4FD03">
            <wp:extent cx="3684896" cy="277335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7198" r="6187" b="4605"/>
                    <a:stretch/>
                  </pic:blipFill>
                  <pic:spPr bwMode="auto">
                    <a:xfrm>
                      <a:off x="0" y="0"/>
                      <a:ext cx="3703755" cy="2787549"/>
                    </a:xfrm>
                    <a:prstGeom prst="rect">
                      <a:avLst/>
                    </a:prstGeom>
                    <a:noFill/>
                    <a:ln>
                      <a:noFill/>
                    </a:ln>
                    <a:extLst>
                      <a:ext uri="{53640926-AAD7-44D8-BBD7-CCE9431645EC}">
                        <a14:shadowObscured xmlns:a14="http://schemas.microsoft.com/office/drawing/2010/main"/>
                      </a:ext>
                    </a:extLst>
                  </pic:spPr>
                </pic:pic>
              </a:graphicData>
            </a:graphic>
          </wp:inline>
        </w:drawing>
      </w:r>
    </w:p>
    <w:p w14:paraId="4154BCAC" w14:textId="216935E0" w:rsidR="00F164CA" w:rsidRDefault="00F164CA" w:rsidP="00913AC4">
      <w:pPr>
        <w:pStyle w:val="Heading2"/>
        <w:numPr>
          <w:ilvl w:val="1"/>
          <w:numId w:val="15"/>
        </w:numPr>
        <w:tabs>
          <w:tab w:val="left" w:pos="990"/>
        </w:tabs>
        <w:ind w:left="810" w:hanging="522"/>
        <w:jc w:val="both"/>
      </w:pPr>
      <w:r>
        <w:t>MLE of difference between treatment and control</w:t>
      </w:r>
    </w:p>
    <w:p w14:paraId="5C448819" w14:textId="54CB1DC9" w:rsidR="00E564A4" w:rsidRPr="00F507A6" w:rsidRDefault="00E564A4" w:rsidP="00913AC4">
      <w:pPr>
        <w:ind w:left="810"/>
        <w:jc w:val="both"/>
        <w:rPr>
          <w:rFonts w:cstheme="minorHAnsi"/>
          <w:sz w:val="24"/>
          <w:szCs w:val="24"/>
        </w:rPr>
      </w:pPr>
      <w:r w:rsidRPr="00F507A6">
        <w:rPr>
          <w:rFonts w:cstheme="minorHAnsi"/>
          <w:sz w:val="24"/>
          <w:szCs w:val="24"/>
        </w:rPr>
        <w:t xml:space="preserve">The aim of </w:t>
      </w:r>
      <w:r w:rsidR="001350AC" w:rsidRPr="00F507A6">
        <w:rPr>
          <w:rFonts w:cstheme="minorHAnsi"/>
          <w:b/>
          <w:sz w:val="24"/>
          <w:szCs w:val="24"/>
        </w:rPr>
        <w:t xml:space="preserve">3.2 </w:t>
      </w:r>
      <w:r w:rsidR="001350AC" w:rsidRPr="00F507A6">
        <w:rPr>
          <w:rFonts w:cstheme="minorHAnsi"/>
          <w:sz w:val="24"/>
          <w:szCs w:val="24"/>
        </w:rPr>
        <w:t xml:space="preserve">and </w:t>
      </w:r>
      <w:r w:rsidR="00B8161F" w:rsidRPr="00F507A6">
        <w:rPr>
          <w:rFonts w:cstheme="minorHAnsi"/>
          <w:b/>
          <w:sz w:val="24"/>
          <w:szCs w:val="24"/>
        </w:rPr>
        <w:t>3.3</w:t>
      </w:r>
      <w:r w:rsidR="00B8161F" w:rsidRPr="00F507A6">
        <w:rPr>
          <w:rFonts w:cstheme="minorHAnsi"/>
          <w:sz w:val="24"/>
          <w:szCs w:val="24"/>
        </w:rPr>
        <w:t xml:space="preserve"> is</w:t>
      </w:r>
      <w:r w:rsidRPr="00F507A6">
        <w:rPr>
          <w:rFonts w:cstheme="minorHAnsi"/>
          <w:sz w:val="24"/>
          <w:szCs w:val="24"/>
        </w:rPr>
        <w:t xml:space="preserve"> to </w:t>
      </w:r>
      <w:r w:rsidR="001350AC" w:rsidRPr="00F507A6">
        <w:rPr>
          <w:rFonts w:cstheme="minorHAnsi"/>
          <w:sz w:val="24"/>
          <w:szCs w:val="24"/>
        </w:rPr>
        <w:t xml:space="preserve">provide a 95% confidence interval of difference in average cognitive scores of treatment and control groups. The variables “TRT” has two categories “Treatment” and “Control”. This </w:t>
      </w:r>
      <w:r w:rsidR="00D06844" w:rsidRPr="00F507A6">
        <w:rPr>
          <w:rFonts w:cstheme="minorHAnsi"/>
          <w:sz w:val="24"/>
          <w:szCs w:val="24"/>
        </w:rPr>
        <w:t>enables us to compute the average cognitive scores of infants under these two categories. In this section MLE of the difference is calculated as follows:</w:t>
      </w:r>
    </w:p>
    <w:p w14:paraId="1AF6282A" w14:textId="59A7DF0B" w:rsidR="00D06844" w:rsidRPr="00F507A6" w:rsidRDefault="00D06844" w:rsidP="00913AC4">
      <w:pPr>
        <w:ind w:left="810"/>
        <w:jc w:val="both"/>
        <w:rPr>
          <w:rFonts w:cstheme="minorHAnsi"/>
          <w:sz w:val="24"/>
          <w:szCs w:val="24"/>
          <w:vertAlign w:val="subscript"/>
        </w:rPr>
      </w:pPr>
      <w:r w:rsidRPr="00F507A6">
        <w:rPr>
          <w:rFonts w:cstheme="minorHAnsi"/>
          <w:sz w:val="24"/>
          <w:szCs w:val="24"/>
        </w:rPr>
        <w:t>MLE</w:t>
      </w:r>
      <w:r w:rsidR="00B07712" w:rsidRPr="00F507A6">
        <w:rPr>
          <w:rFonts w:cstheme="minorHAnsi"/>
          <w:sz w:val="24"/>
          <w:szCs w:val="24"/>
        </w:rPr>
        <w:t xml:space="preserve"> of</w:t>
      </w:r>
      <w:r w:rsidRPr="00F507A6">
        <w:rPr>
          <w:rFonts w:cstheme="minorHAnsi"/>
          <w:sz w:val="24"/>
          <w:szCs w:val="24"/>
        </w:rPr>
        <w:t xml:space="preserve"> </w:t>
      </w:r>
      <w:r w:rsidRPr="00F507A6">
        <w:rPr>
          <w:rFonts w:cstheme="minorHAnsi"/>
          <w:sz w:val="24"/>
          <w:szCs w:val="24"/>
        </w:rPr>
        <w:sym w:font="Symbol" w:char="F06D"/>
      </w:r>
      <w:r w:rsidRPr="00F507A6">
        <w:rPr>
          <w:rFonts w:cstheme="minorHAnsi"/>
          <w:sz w:val="24"/>
          <w:szCs w:val="24"/>
          <w:vertAlign w:val="subscript"/>
        </w:rPr>
        <w:t xml:space="preserve">2 - </w:t>
      </w:r>
      <w:r w:rsidRPr="00F507A6">
        <w:rPr>
          <w:rFonts w:cstheme="minorHAnsi"/>
          <w:sz w:val="24"/>
          <w:szCs w:val="24"/>
        </w:rPr>
        <w:sym w:font="Symbol" w:char="F06D"/>
      </w:r>
      <w:r w:rsidRPr="00F507A6">
        <w:rPr>
          <w:rFonts w:cstheme="minorHAnsi"/>
          <w:sz w:val="24"/>
          <w:szCs w:val="24"/>
          <w:vertAlign w:val="subscript"/>
        </w:rPr>
        <w:t xml:space="preserve">1 </w:t>
      </w:r>
      <w:proofErr w:type="gramStart"/>
      <w:r w:rsidRPr="00F507A6">
        <w:rPr>
          <w:rFonts w:cstheme="minorHAnsi"/>
          <w:sz w:val="24"/>
          <w:szCs w:val="24"/>
          <w:vertAlign w:val="subscript"/>
        </w:rPr>
        <w:t xml:space="preserve">= </w:t>
      </w:r>
      <w:r w:rsidR="00B07712" w:rsidRPr="00F507A6">
        <w:rPr>
          <w:rFonts w:cstheme="minorHAnsi"/>
          <w:sz w:val="24"/>
          <w:szCs w:val="24"/>
        </w:rPr>
        <w:t xml:space="preserve"> </w:t>
      </w:r>
      <w:proofErr w:type="spellStart"/>
      <w:r w:rsidR="00B07712" w:rsidRPr="00F507A6">
        <w:rPr>
          <w:rFonts w:cstheme="minorHAnsi"/>
          <w:sz w:val="24"/>
          <w:szCs w:val="24"/>
        </w:rPr>
        <w:t>x̅</w:t>
      </w:r>
      <w:r w:rsidR="00B07712" w:rsidRPr="00F507A6">
        <w:rPr>
          <w:rStyle w:val="VerbatimChar"/>
          <w:rFonts w:asciiTheme="minorHAnsi" w:hAnsiTheme="minorHAnsi" w:cstheme="minorHAnsi"/>
          <w:sz w:val="24"/>
          <w:szCs w:val="24"/>
          <w:vertAlign w:val="subscript"/>
        </w:rPr>
        <w:t>treatment</w:t>
      </w:r>
      <w:proofErr w:type="spellEnd"/>
      <w:proofErr w:type="gramEnd"/>
      <w:r w:rsidR="00B07712" w:rsidRPr="00F507A6">
        <w:rPr>
          <w:rStyle w:val="VerbatimChar"/>
          <w:rFonts w:asciiTheme="minorHAnsi" w:hAnsiTheme="minorHAnsi" w:cstheme="minorHAnsi"/>
          <w:sz w:val="24"/>
          <w:szCs w:val="24"/>
          <w:vertAlign w:val="subscript"/>
        </w:rPr>
        <w:t xml:space="preserve"> </w:t>
      </w:r>
      <w:r w:rsidR="00B07712" w:rsidRPr="00F507A6">
        <w:rPr>
          <w:rStyle w:val="VerbatimChar"/>
          <w:rFonts w:asciiTheme="minorHAnsi" w:hAnsiTheme="minorHAnsi" w:cstheme="minorHAnsi"/>
          <w:sz w:val="24"/>
          <w:szCs w:val="24"/>
        </w:rPr>
        <w:t xml:space="preserve">- </w:t>
      </w:r>
      <w:proofErr w:type="spellStart"/>
      <w:r w:rsidR="00B07712" w:rsidRPr="00F507A6">
        <w:rPr>
          <w:rStyle w:val="VerbatimChar"/>
          <w:rFonts w:asciiTheme="minorHAnsi" w:hAnsiTheme="minorHAnsi" w:cstheme="minorHAnsi"/>
          <w:sz w:val="24"/>
          <w:szCs w:val="24"/>
        </w:rPr>
        <w:t>x̅</w:t>
      </w:r>
      <w:r w:rsidR="00B07712" w:rsidRPr="00F507A6">
        <w:rPr>
          <w:rStyle w:val="VerbatimChar"/>
          <w:rFonts w:asciiTheme="minorHAnsi" w:hAnsiTheme="minorHAnsi" w:cstheme="minorHAnsi"/>
          <w:sz w:val="24"/>
          <w:szCs w:val="24"/>
          <w:vertAlign w:val="subscript"/>
        </w:rPr>
        <w:t>control</w:t>
      </w:r>
      <w:proofErr w:type="spellEnd"/>
      <w:r w:rsidR="00B07712" w:rsidRPr="00F507A6">
        <w:rPr>
          <w:rStyle w:val="VerbatimChar"/>
          <w:rFonts w:asciiTheme="minorHAnsi" w:hAnsiTheme="minorHAnsi" w:cstheme="minorHAnsi"/>
          <w:sz w:val="24"/>
          <w:szCs w:val="24"/>
        </w:rPr>
        <w:t xml:space="preserve"> = </w:t>
      </w:r>
      <w:r w:rsidRPr="00F507A6">
        <w:rPr>
          <w:rStyle w:val="VerbatimChar"/>
          <w:rFonts w:asciiTheme="minorHAnsi" w:hAnsiTheme="minorHAnsi" w:cstheme="minorHAnsi"/>
          <w:sz w:val="24"/>
          <w:szCs w:val="24"/>
        </w:rPr>
        <w:t>14.40421</w:t>
      </w:r>
    </w:p>
    <w:p w14:paraId="11826E38" w14:textId="77777777" w:rsidR="00C335B3" w:rsidRDefault="00C335B3" w:rsidP="00913AC4">
      <w:pPr>
        <w:pStyle w:val="Heading2"/>
        <w:tabs>
          <w:tab w:val="left" w:pos="990"/>
        </w:tabs>
        <w:ind w:left="810"/>
        <w:jc w:val="both"/>
      </w:pPr>
    </w:p>
    <w:p w14:paraId="6AD6F29D" w14:textId="3F393A68" w:rsidR="00F164CA" w:rsidRDefault="00F164CA" w:rsidP="00913AC4">
      <w:pPr>
        <w:pStyle w:val="Heading2"/>
        <w:numPr>
          <w:ilvl w:val="1"/>
          <w:numId w:val="15"/>
        </w:numPr>
        <w:tabs>
          <w:tab w:val="left" w:pos="990"/>
        </w:tabs>
        <w:ind w:left="810" w:hanging="522"/>
        <w:jc w:val="both"/>
      </w:pPr>
      <w:r>
        <w:t>Standard error of MLE using bootstrap</w:t>
      </w:r>
      <w:r w:rsidR="00CA701B">
        <w:t xml:space="preserve"> AND CONFIDENCE INTERVALS</w:t>
      </w:r>
    </w:p>
    <w:p w14:paraId="32E8D241" w14:textId="7E50EF02" w:rsidR="006138C7" w:rsidRPr="00F507A6" w:rsidRDefault="00D06844" w:rsidP="00913AC4">
      <w:pPr>
        <w:ind w:left="810"/>
        <w:jc w:val="both"/>
        <w:rPr>
          <w:sz w:val="24"/>
          <w:szCs w:val="24"/>
        </w:rPr>
      </w:pPr>
      <w:r w:rsidRPr="00DD4E2C">
        <w:rPr>
          <w:sz w:val="24"/>
          <w:szCs w:val="24"/>
        </w:rPr>
        <w:t xml:space="preserve">In this </w:t>
      </w:r>
      <w:r w:rsidR="00DD4E2C" w:rsidRPr="00DD4E2C">
        <w:rPr>
          <w:sz w:val="24"/>
          <w:szCs w:val="24"/>
        </w:rPr>
        <w:t>section,</w:t>
      </w:r>
      <w:r w:rsidR="00221E4B" w:rsidRPr="00DD4E2C">
        <w:rPr>
          <w:sz w:val="24"/>
          <w:szCs w:val="24"/>
        </w:rPr>
        <w:t xml:space="preserve"> </w:t>
      </w:r>
      <w:r w:rsidRPr="00DD4E2C">
        <w:rPr>
          <w:sz w:val="24"/>
          <w:szCs w:val="24"/>
        </w:rPr>
        <w:t xml:space="preserve">standard error for the above </w:t>
      </w:r>
      <w:r w:rsidR="00221E4B" w:rsidRPr="00DD4E2C">
        <w:rPr>
          <w:sz w:val="24"/>
          <w:szCs w:val="24"/>
        </w:rPr>
        <w:t>MLE</w:t>
      </w:r>
      <w:r w:rsidRPr="00DD4E2C">
        <w:rPr>
          <w:sz w:val="24"/>
          <w:szCs w:val="24"/>
        </w:rPr>
        <w:t xml:space="preserve"> is calculated </w:t>
      </w:r>
      <w:r w:rsidR="00DD4E2C" w:rsidRPr="00DD4E2C">
        <w:rPr>
          <w:sz w:val="24"/>
          <w:szCs w:val="24"/>
        </w:rPr>
        <w:t>analytically, with</w:t>
      </w:r>
      <w:r w:rsidR="00221E4B" w:rsidRPr="00DD4E2C">
        <w:rPr>
          <w:sz w:val="24"/>
          <w:szCs w:val="24"/>
        </w:rPr>
        <w:t xml:space="preserve"> parametric and non-parametric bootstrap. The 95% confidence intervals are built </w:t>
      </w:r>
      <w:r w:rsidR="00CC2CB6" w:rsidRPr="00DD4E2C">
        <w:rPr>
          <w:sz w:val="24"/>
          <w:szCs w:val="24"/>
        </w:rPr>
        <w:t>using these standard errors.</w:t>
      </w:r>
      <w:r w:rsidR="006138C7">
        <w:t xml:space="preserve">     </w:t>
      </w:r>
    </w:p>
    <w:tbl>
      <w:tblPr>
        <w:tblStyle w:val="TableGrid"/>
        <w:tblW w:w="0" w:type="auto"/>
        <w:tblInd w:w="2128" w:type="dxa"/>
        <w:tblLook w:val="04A0" w:firstRow="1" w:lastRow="0" w:firstColumn="1" w:lastColumn="0" w:noHBand="0" w:noVBand="1"/>
      </w:tblPr>
      <w:tblGrid>
        <w:gridCol w:w="3031"/>
        <w:gridCol w:w="3031"/>
      </w:tblGrid>
      <w:tr w:rsidR="006138C7" w:rsidRPr="00F507A6" w14:paraId="750C7B14" w14:textId="77777777" w:rsidTr="006138C7">
        <w:trPr>
          <w:trHeight w:val="257"/>
        </w:trPr>
        <w:tc>
          <w:tcPr>
            <w:tcW w:w="3031" w:type="dxa"/>
          </w:tcPr>
          <w:p w14:paraId="67866390" w14:textId="4D7C5564" w:rsidR="006138C7" w:rsidRPr="00F507A6" w:rsidRDefault="006138C7" w:rsidP="00913AC4">
            <w:pPr>
              <w:ind w:left="0"/>
              <w:jc w:val="both"/>
              <w:rPr>
                <w:sz w:val="24"/>
                <w:szCs w:val="24"/>
              </w:rPr>
            </w:pPr>
            <w:r w:rsidRPr="00F507A6">
              <w:rPr>
                <w:sz w:val="24"/>
                <w:szCs w:val="24"/>
              </w:rPr>
              <w:lastRenderedPageBreak/>
              <w:t>Analytical</w:t>
            </w:r>
          </w:p>
        </w:tc>
        <w:tc>
          <w:tcPr>
            <w:tcW w:w="3031" w:type="dxa"/>
          </w:tcPr>
          <w:p w14:paraId="29A68A18" w14:textId="78CEEFB8" w:rsidR="006138C7" w:rsidRPr="00F507A6" w:rsidRDefault="006138C7" w:rsidP="00913AC4">
            <w:pPr>
              <w:pStyle w:val="SourceCode"/>
              <w:spacing w:after="0"/>
              <w:jc w:val="both"/>
              <w:rPr>
                <w:sz w:val="24"/>
                <w:szCs w:val="24"/>
              </w:rPr>
            </w:pPr>
            <w:r w:rsidRPr="00F507A6">
              <w:rPr>
                <w:rStyle w:val="VerbatimChar"/>
                <w:sz w:val="24"/>
                <w:szCs w:val="24"/>
              </w:rPr>
              <w:t xml:space="preserve"> (9.192859,19.615570)</w:t>
            </w:r>
          </w:p>
        </w:tc>
      </w:tr>
      <w:tr w:rsidR="006138C7" w:rsidRPr="00F507A6" w14:paraId="54C08584" w14:textId="77777777" w:rsidTr="006138C7">
        <w:trPr>
          <w:trHeight w:val="257"/>
        </w:trPr>
        <w:tc>
          <w:tcPr>
            <w:tcW w:w="3031" w:type="dxa"/>
          </w:tcPr>
          <w:p w14:paraId="7C92C33B" w14:textId="4FF07E1A" w:rsidR="006138C7" w:rsidRPr="00F507A6" w:rsidRDefault="006138C7" w:rsidP="00913AC4">
            <w:pPr>
              <w:ind w:left="0"/>
              <w:jc w:val="both"/>
              <w:rPr>
                <w:sz w:val="24"/>
                <w:szCs w:val="24"/>
              </w:rPr>
            </w:pPr>
            <w:r w:rsidRPr="00F507A6">
              <w:rPr>
                <w:sz w:val="24"/>
                <w:szCs w:val="24"/>
              </w:rPr>
              <w:t>Parametric Bootstrap</w:t>
            </w:r>
          </w:p>
        </w:tc>
        <w:tc>
          <w:tcPr>
            <w:tcW w:w="3031" w:type="dxa"/>
          </w:tcPr>
          <w:p w14:paraId="2558A50C" w14:textId="074227F2" w:rsidR="006138C7" w:rsidRPr="00F507A6" w:rsidRDefault="006138C7" w:rsidP="00913AC4">
            <w:pPr>
              <w:pStyle w:val="SourceCode"/>
              <w:spacing w:after="0"/>
              <w:jc w:val="both"/>
              <w:rPr>
                <w:rStyle w:val="VerbatimChar"/>
                <w:sz w:val="24"/>
                <w:szCs w:val="24"/>
              </w:rPr>
            </w:pPr>
            <w:r w:rsidRPr="00F507A6">
              <w:rPr>
                <w:rStyle w:val="VerbatimChar"/>
                <w:sz w:val="24"/>
                <w:szCs w:val="24"/>
              </w:rPr>
              <w:t xml:space="preserve"> (9.172427,19.636002)</w:t>
            </w:r>
          </w:p>
        </w:tc>
      </w:tr>
    </w:tbl>
    <w:p w14:paraId="157BD157" w14:textId="4A1ABF6F" w:rsidR="00F507A6" w:rsidRDefault="00F507A6" w:rsidP="00913AC4">
      <w:pPr>
        <w:ind w:left="810"/>
        <w:jc w:val="both"/>
        <w:rPr>
          <w:sz w:val="24"/>
          <w:szCs w:val="24"/>
        </w:rPr>
      </w:pPr>
    </w:p>
    <w:p w14:paraId="7C0BC80C" w14:textId="4A074F58" w:rsidR="006138C7" w:rsidRPr="00F507A6" w:rsidRDefault="006138C7" w:rsidP="00913AC4">
      <w:pPr>
        <w:ind w:left="810"/>
        <w:jc w:val="both"/>
        <w:rPr>
          <w:sz w:val="24"/>
          <w:szCs w:val="24"/>
        </w:rPr>
      </w:pPr>
      <w:r w:rsidRPr="00F507A6">
        <w:rPr>
          <w:sz w:val="24"/>
          <w:szCs w:val="24"/>
        </w:rPr>
        <w:tab/>
      </w:r>
      <w:r w:rsidRPr="00F507A6">
        <w:rPr>
          <w:sz w:val="24"/>
          <w:szCs w:val="24"/>
        </w:rPr>
        <w:tab/>
      </w:r>
      <w:r w:rsidRPr="00F507A6">
        <w:rPr>
          <w:sz w:val="24"/>
          <w:szCs w:val="24"/>
        </w:rPr>
        <w:tab/>
      </w:r>
      <w:r w:rsidRPr="00F507A6">
        <w:rPr>
          <w:sz w:val="24"/>
          <w:szCs w:val="24"/>
        </w:rPr>
        <w:tab/>
        <w:t xml:space="preserve">       Non-Parametric Bootstrap</w:t>
      </w:r>
    </w:p>
    <w:tbl>
      <w:tblPr>
        <w:tblStyle w:val="TableGrid"/>
        <w:tblW w:w="0" w:type="auto"/>
        <w:tblInd w:w="2088" w:type="dxa"/>
        <w:tblLook w:val="04A0" w:firstRow="1" w:lastRow="0" w:firstColumn="1" w:lastColumn="0" w:noHBand="0" w:noVBand="1"/>
      </w:tblPr>
      <w:tblGrid>
        <w:gridCol w:w="3129"/>
        <w:gridCol w:w="3129"/>
      </w:tblGrid>
      <w:tr w:rsidR="006138C7" w:rsidRPr="00F507A6" w14:paraId="307F12C0" w14:textId="77777777" w:rsidTr="0006561E">
        <w:trPr>
          <w:trHeight w:val="281"/>
        </w:trPr>
        <w:tc>
          <w:tcPr>
            <w:tcW w:w="3129" w:type="dxa"/>
          </w:tcPr>
          <w:p w14:paraId="7327F06A" w14:textId="547401BD" w:rsidR="006138C7" w:rsidRPr="00F507A6" w:rsidRDefault="0099011A" w:rsidP="00913AC4">
            <w:pPr>
              <w:ind w:left="0"/>
              <w:jc w:val="both"/>
              <w:rPr>
                <w:sz w:val="24"/>
                <w:szCs w:val="24"/>
              </w:rPr>
            </w:pPr>
            <w:r w:rsidRPr="00F507A6">
              <w:rPr>
                <w:sz w:val="24"/>
                <w:szCs w:val="24"/>
              </w:rPr>
              <w:t>Normal</w:t>
            </w:r>
          </w:p>
        </w:tc>
        <w:tc>
          <w:tcPr>
            <w:tcW w:w="3129" w:type="dxa"/>
          </w:tcPr>
          <w:p w14:paraId="5E3EF663" w14:textId="60E1BE21" w:rsidR="006138C7" w:rsidRPr="00F507A6" w:rsidRDefault="00B3515F" w:rsidP="00913AC4">
            <w:pPr>
              <w:ind w:left="0"/>
              <w:jc w:val="both"/>
              <w:rPr>
                <w:sz w:val="24"/>
                <w:szCs w:val="24"/>
              </w:rPr>
            </w:pPr>
            <w:r w:rsidRPr="00F507A6">
              <w:rPr>
                <w:rStyle w:val="VerbatimChar"/>
                <w:sz w:val="24"/>
                <w:szCs w:val="24"/>
              </w:rPr>
              <w:t xml:space="preserve"> (</w:t>
            </w:r>
            <w:r w:rsidR="0099011A" w:rsidRPr="00F507A6">
              <w:rPr>
                <w:rStyle w:val="VerbatimChar"/>
                <w:sz w:val="24"/>
                <w:szCs w:val="24"/>
              </w:rPr>
              <w:t>9.007697</w:t>
            </w:r>
            <w:r w:rsidRPr="00F507A6">
              <w:rPr>
                <w:rStyle w:val="VerbatimChar"/>
                <w:sz w:val="24"/>
                <w:szCs w:val="24"/>
              </w:rPr>
              <w:t>,</w:t>
            </w:r>
            <w:r w:rsidR="0099011A" w:rsidRPr="00F507A6">
              <w:rPr>
                <w:rStyle w:val="VerbatimChar"/>
                <w:sz w:val="24"/>
                <w:szCs w:val="24"/>
              </w:rPr>
              <w:t>19.800732</w:t>
            </w:r>
            <w:r w:rsidRPr="00F507A6">
              <w:rPr>
                <w:rStyle w:val="VerbatimChar"/>
                <w:sz w:val="24"/>
                <w:szCs w:val="24"/>
              </w:rPr>
              <w:t>)</w:t>
            </w:r>
          </w:p>
        </w:tc>
      </w:tr>
      <w:tr w:rsidR="006138C7" w:rsidRPr="00F507A6" w14:paraId="6DE81E01" w14:textId="77777777" w:rsidTr="0006561E">
        <w:trPr>
          <w:trHeight w:val="281"/>
        </w:trPr>
        <w:tc>
          <w:tcPr>
            <w:tcW w:w="3129" w:type="dxa"/>
          </w:tcPr>
          <w:p w14:paraId="15FF20FA" w14:textId="498A5D3E" w:rsidR="006138C7" w:rsidRPr="00F507A6" w:rsidRDefault="0099011A" w:rsidP="00913AC4">
            <w:pPr>
              <w:ind w:left="0"/>
              <w:jc w:val="both"/>
              <w:rPr>
                <w:sz w:val="24"/>
                <w:szCs w:val="24"/>
              </w:rPr>
            </w:pPr>
            <w:r w:rsidRPr="00F507A6">
              <w:rPr>
                <w:sz w:val="24"/>
                <w:szCs w:val="24"/>
              </w:rPr>
              <w:t>Pivotal</w:t>
            </w:r>
          </w:p>
        </w:tc>
        <w:tc>
          <w:tcPr>
            <w:tcW w:w="3129" w:type="dxa"/>
          </w:tcPr>
          <w:p w14:paraId="77A0C666" w14:textId="47A812C9" w:rsidR="006138C7" w:rsidRPr="00F507A6" w:rsidRDefault="00E37F22" w:rsidP="00913AC4">
            <w:pPr>
              <w:pStyle w:val="SourceCode"/>
              <w:spacing w:after="0"/>
              <w:jc w:val="both"/>
              <w:rPr>
                <w:sz w:val="24"/>
                <w:szCs w:val="24"/>
              </w:rPr>
            </w:pPr>
            <w:r w:rsidRPr="00F507A6">
              <w:rPr>
                <w:rStyle w:val="VerbatimChar"/>
                <w:sz w:val="24"/>
                <w:szCs w:val="24"/>
              </w:rPr>
              <w:t xml:space="preserve"> </w:t>
            </w:r>
            <w:r w:rsidR="000619CF" w:rsidRPr="00F507A6">
              <w:rPr>
                <w:rStyle w:val="VerbatimChar"/>
                <w:sz w:val="24"/>
                <w:szCs w:val="24"/>
              </w:rPr>
              <w:t>(</w:t>
            </w:r>
            <w:r w:rsidR="0099011A" w:rsidRPr="00F507A6">
              <w:rPr>
                <w:rStyle w:val="VerbatimChar"/>
                <w:sz w:val="24"/>
                <w:szCs w:val="24"/>
              </w:rPr>
              <w:t>9.169636</w:t>
            </w:r>
            <w:r w:rsidR="000619CF" w:rsidRPr="00F507A6">
              <w:rPr>
                <w:rStyle w:val="VerbatimChar"/>
                <w:sz w:val="24"/>
                <w:szCs w:val="24"/>
              </w:rPr>
              <w:t xml:space="preserve">,19.842912)  </w:t>
            </w:r>
            <w:r w:rsidR="0099011A" w:rsidRPr="00F507A6">
              <w:rPr>
                <w:rStyle w:val="VerbatimChar"/>
                <w:sz w:val="24"/>
                <w:szCs w:val="24"/>
              </w:rPr>
              <w:t xml:space="preserve"> </w:t>
            </w:r>
          </w:p>
        </w:tc>
      </w:tr>
      <w:tr w:rsidR="006138C7" w:rsidRPr="00F507A6" w14:paraId="0F61FF4A" w14:textId="77777777" w:rsidTr="0006561E">
        <w:trPr>
          <w:trHeight w:val="270"/>
        </w:trPr>
        <w:tc>
          <w:tcPr>
            <w:tcW w:w="3129" w:type="dxa"/>
          </w:tcPr>
          <w:p w14:paraId="7CD3FC61" w14:textId="3DE8BE30" w:rsidR="006138C7" w:rsidRPr="00F507A6" w:rsidRDefault="00BD63A1" w:rsidP="00913AC4">
            <w:pPr>
              <w:ind w:left="0"/>
              <w:jc w:val="both"/>
              <w:rPr>
                <w:sz w:val="24"/>
                <w:szCs w:val="24"/>
              </w:rPr>
            </w:pPr>
            <w:r w:rsidRPr="00F507A6">
              <w:rPr>
                <w:sz w:val="24"/>
                <w:szCs w:val="24"/>
              </w:rPr>
              <w:t>Quantile</w:t>
            </w:r>
          </w:p>
        </w:tc>
        <w:tc>
          <w:tcPr>
            <w:tcW w:w="3129" w:type="dxa"/>
          </w:tcPr>
          <w:p w14:paraId="6B86045B" w14:textId="517F9396" w:rsidR="006138C7" w:rsidRPr="00F507A6" w:rsidRDefault="00E37F22" w:rsidP="00913AC4">
            <w:pPr>
              <w:ind w:left="0"/>
              <w:jc w:val="both"/>
              <w:rPr>
                <w:sz w:val="24"/>
                <w:szCs w:val="24"/>
              </w:rPr>
            </w:pPr>
            <w:r w:rsidRPr="00F507A6">
              <w:rPr>
                <w:rStyle w:val="VerbatimChar"/>
                <w:sz w:val="24"/>
                <w:szCs w:val="24"/>
              </w:rPr>
              <w:t xml:space="preserve"> </w:t>
            </w:r>
            <w:r w:rsidR="000619CF" w:rsidRPr="00F507A6">
              <w:rPr>
                <w:rStyle w:val="VerbatimChar"/>
                <w:sz w:val="24"/>
                <w:szCs w:val="24"/>
              </w:rPr>
              <w:t>(</w:t>
            </w:r>
            <w:r w:rsidR="0099011A" w:rsidRPr="00F507A6">
              <w:rPr>
                <w:rStyle w:val="VerbatimChar"/>
                <w:sz w:val="24"/>
                <w:szCs w:val="24"/>
              </w:rPr>
              <w:t>8.965517</w:t>
            </w:r>
            <w:r w:rsidR="000619CF" w:rsidRPr="00F507A6">
              <w:rPr>
                <w:rStyle w:val="VerbatimChar"/>
                <w:sz w:val="24"/>
                <w:szCs w:val="24"/>
              </w:rPr>
              <w:t>,</w:t>
            </w:r>
            <w:r w:rsidR="0099011A" w:rsidRPr="00F507A6">
              <w:rPr>
                <w:rStyle w:val="VerbatimChar"/>
                <w:sz w:val="24"/>
                <w:szCs w:val="24"/>
              </w:rPr>
              <w:t>19.638793</w:t>
            </w:r>
            <w:r w:rsidR="000619CF" w:rsidRPr="00F507A6">
              <w:rPr>
                <w:rStyle w:val="VerbatimChar"/>
                <w:sz w:val="24"/>
                <w:szCs w:val="24"/>
              </w:rPr>
              <w:t>)</w:t>
            </w:r>
          </w:p>
        </w:tc>
      </w:tr>
    </w:tbl>
    <w:p w14:paraId="0F083856" w14:textId="7AF74B2C" w:rsidR="006138C7" w:rsidRPr="00D06844" w:rsidRDefault="006138C7" w:rsidP="00913AC4">
      <w:pPr>
        <w:ind w:left="810"/>
        <w:jc w:val="both"/>
      </w:pPr>
    </w:p>
    <w:p w14:paraId="532672F6" w14:textId="77777777" w:rsidR="00A719B7" w:rsidRDefault="00F164CA" w:rsidP="00913AC4">
      <w:pPr>
        <w:pStyle w:val="Heading2"/>
        <w:numPr>
          <w:ilvl w:val="1"/>
          <w:numId w:val="15"/>
        </w:numPr>
        <w:tabs>
          <w:tab w:val="left" w:pos="990"/>
        </w:tabs>
        <w:ind w:left="810" w:hanging="522"/>
        <w:jc w:val="both"/>
      </w:pPr>
      <w:r>
        <w:t>Hypothesis test for difference between treatment and control</w:t>
      </w:r>
    </w:p>
    <w:p w14:paraId="05152003" w14:textId="77777777" w:rsidR="00B96B7B" w:rsidRPr="00BF3BB3" w:rsidRDefault="00B96B7B" w:rsidP="00913AC4">
      <w:pPr>
        <w:tabs>
          <w:tab w:val="left" w:pos="1440"/>
        </w:tabs>
        <w:ind w:left="792"/>
        <w:jc w:val="both"/>
        <w:rPr>
          <w:sz w:val="24"/>
          <w:szCs w:val="24"/>
        </w:rPr>
      </w:pPr>
      <w:r w:rsidRPr="00BF3BB3">
        <w:rPr>
          <w:sz w:val="24"/>
          <w:szCs w:val="24"/>
        </w:rPr>
        <w:t>Let’s check if the cognitive scores of infants aged 1.5 years significantly differ for treatment and control group. Our hypotheses are:</w:t>
      </w:r>
    </w:p>
    <w:p w14:paraId="1679C1FF" w14:textId="77777777" w:rsidR="00B96B7B" w:rsidRPr="00BF3BB3" w:rsidRDefault="000F3C04" w:rsidP="00913AC4">
      <w:pPr>
        <w:tabs>
          <w:tab w:val="left" w:pos="1440"/>
        </w:tabs>
        <w:ind w:left="792"/>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o</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treatment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control</m:t>
              </m:r>
            </m:sub>
          </m:sSub>
          <m:r>
            <w:rPr>
              <w:rFonts w:ascii="Cambria Math" w:hAnsi="Cambria Math"/>
              <w:sz w:val="24"/>
              <w:szCs w:val="24"/>
            </w:rPr>
            <m:t>=0</m:t>
          </m:r>
        </m:oMath>
      </m:oMathPara>
    </w:p>
    <w:p w14:paraId="5814223C" w14:textId="77777777" w:rsidR="00B96B7B" w:rsidRPr="00BF3BB3" w:rsidRDefault="000F3C04" w:rsidP="00913AC4">
      <w:pPr>
        <w:tabs>
          <w:tab w:val="left" w:pos="1440"/>
        </w:tabs>
        <w:ind w:left="792"/>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treatment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control</m:t>
              </m:r>
            </m:sub>
          </m:sSub>
          <m:r>
            <w:rPr>
              <w:rFonts w:ascii="Cambria Math" w:hAnsi="Cambria Math"/>
              <w:sz w:val="24"/>
              <w:szCs w:val="24"/>
            </w:rPr>
            <m:t xml:space="preserve"> ≠0</m:t>
          </m:r>
        </m:oMath>
      </m:oMathPara>
    </w:p>
    <w:p w14:paraId="17724665" w14:textId="04D79CC3" w:rsidR="003131E4" w:rsidRDefault="00FF78B6" w:rsidP="00913AC4">
      <w:pPr>
        <w:tabs>
          <w:tab w:val="left" w:pos="1440"/>
        </w:tabs>
        <w:ind w:left="792"/>
        <w:jc w:val="both"/>
        <w:rPr>
          <w:sz w:val="24"/>
          <w:szCs w:val="24"/>
        </w:rPr>
      </w:pPr>
      <w:r w:rsidRPr="00BF3BB3">
        <w:rPr>
          <w:sz w:val="24"/>
          <w:szCs w:val="24"/>
        </w:rPr>
        <w:t xml:space="preserve">Wald test is carried out to test </w:t>
      </w:r>
      <w:r w:rsidR="002503F4" w:rsidRPr="00BF3BB3">
        <w:rPr>
          <w:sz w:val="24"/>
          <w:szCs w:val="24"/>
        </w:rPr>
        <w:t xml:space="preserve">the hypothesis. P-value obtained is </w:t>
      </w:r>
      <w:r w:rsidR="00BF3BB3" w:rsidRPr="00BF3BB3">
        <w:rPr>
          <w:sz w:val="24"/>
          <w:szCs w:val="24"/>
        </w:rPr>
        <w:t>3.238825e-08. At a significance level of 0.05, we reject the null hypothesis that</w:t>
      </w:r>
      <w:r w:rsidR="00BF3BB3">
        <w:rPr>
          <w:sz w:val="24"/>
          <w:szCs w:val="24"/>
        </w:rPr>
        <w:t xml:space="preserve"> mean of cognitive scores for treatment group and control group are same</w:t>
      </w:r>
      <w:r w:rsidR="009E2FB0">
        <w:rPr>
          <w:sz w:val="24"/>
          <w:szCs w:val="24"/>
        </w:rPr>
        <w:t xml:space="preserve"> and conclude that there is significant difference in cognitive scores of treatment group and control group.</w:t>
      </w:r>
    </w:p>
    <w:p w14:paraId="5EA5AAD2" w14:textId="77777777" w:rsidR="0034312F" w:rsidRDefault="0034312F" w:rsidP="00913AC4">
      <w:pPr>
        <w:tabs>
          <w:tab w:val="left" w:pos="1440"/>
        </w:tabs>
        <w:ind w:left="792"/>
        <w:jc w:val="both"/>
        <w:rPr>
          <w:sz w:val="24"/>
          <w:szCs w:val="24"/>
        </w:rPr>
      </w:pPr>
    </w:p>
    <w:p w14:paraId="16034811" w14:textId="77777777" w:rsidR="00F164CA" w:rsidRDefault="003131E4" w:rsidP="00913AC4">
      <w:pPr>
        <w:pStyle w:val="Heading2"/>
        <w:numPr>
          <w:ilvl w:val="1"/>
          <w:numId w:val="15"/>
        </w:numPr>
        <w:ind w:left="810" w:hanging="450"/>
        <w:jc w:val="both"/>
      </w:pPr>
      <w:r>
        <w:t>B</w:t>
      </w:r>
      <w:r w:rsidR="00F164CA">
        <w:t>ayesian Analysis on proportion of high cognitive score infants</w:t>
      </w:r>
    </w:p>
    <w:p w14:paraId="16F07092" w14:textId="1EBA3B6B" w:rsidR="006027A8" w:rsidRPr="001971AE" w:rsidRDefault="00B1153E" w:rsidP="00913AC4">
      <w:pPr>
        <w:tabs>
          <w:tab w:val="left" w:pos="1440"/>
        </w:tabs>
        <w:ind w:left="792"/>
        <w:jc w:val="both"/>
        <w:rPr>
          <w:sz w:val="24"/>
          <w:szCs w:val="24"/>
        </w:rPr>
      </w:pPr>
      <w:r w:rsidRPr="001971AE">
        <w:rPr>
          <w:sz w:val="24"/>
          <w:szCs w:val="24"/>
        </w:rPr>
        <w:t>The ‘High’ column in the data provides information whether the cognitive score of</w:t>
      </w:r>
      <w:r w:rsidR="00EE4168">
        <w:rPr>
          <w:sz w:val="24"/>
          <w:szCs w:val="24"/>
        </w:rPr>
        <w:t xml:space="preserve"> an i</w:t>
      </w:r>
      <w:r w:rsidRPr="001971AE">
        <w:rPr>
          <w:sz w:val="24"/>
          <w:szCs w:val="24"/>
        </w:rPr>
        <w:t>nfant is greater than 110. This will be used to calculate the proportion of high cognitive infants with age 1.5 years and to find the posterior distribution of</w:t>
      </w:r>
      <w:r w:rsidR="007E74C5">
        <w:rPr>
          <w:sz w:val="24"/>
          <w:szCs w:val="24"/>
        </w:rPr>
        <w:t xml:space="preserve"> proportion of</w:t>
      </w:r>
      <w:r w:rsidRPr="001971AE">
        <w:rPr>
          <w:sz w:val="24"/>
          <w:szCs w:val="24"/>
        </w:rPr>
        <w:t xml:space="preserve"> high cognitive infants (Age – 1.5 </w:t>
      </w:r>
      <w:r w:rsidR="00E825D8" w:rsidRPr="001971AE">
        <w:rPr>
          <w:sz w:val="24"/>
          <w:szCs w:val="24"/>
        </w:rPr>
        <w:t>yrs.</w:t>
      </w:r>
      <w:r w:rsidRPr="001971AE">
        <w:rPr>
          <w:sz w:val="24"/>
          <w:szCs w:val="24"/>
        </w:rPr>
        <w:t>) using Bayesian Analysis.</w:t>
      </w:r>
    </w:p>
    <w:p w14:paraId="307072FC" w14:textId="54342824" w:rsidR="00CB07D0" w:rsidRPr="00735892" w:rsidRDefault="00CB07D0" w:rsidP="00913AC4">
      <w:pPr>
        <w:tabs>
          <w:tab w:val="left" w:pos="1440"/>
        </w:tabs>
        <w:ind w:left="792"/>
        <w:jc w:val="both"/>
        <w:rPr>
          <w:sz w:val="24"/>
          <w:szCs w:val="24"/>
        </w:rPr>
      </w:pPr>
      <w:r w:rsidRPr="00735892">
        <w:rPr>
          <w:sz w:val="24"/>
          <w:szCs w:val="24"/>
        </w:rPr>
        <w:t>For calculating posterior distribution, we need a prior distribution.</w:t>
      </w:r>
      <w:r w:rsidR="00A310F5" w:rsidRPr="00735892">
        <w:rPr>
          <w:sz w:val="24"/>
          <w:szCs w:val="24"/>
        </w:rPr>
        <w:t xml:space="preserve"> In order to estimate </w:t>
      </w:r>
      <w:r w:rsidR="00755828" w:rsidRPr="00735892">
        <w:rPr>
          <w:sz w:val="24"/>
          <w:szCs w:val="24"/>
        </w:rPr>
        <w:t>this,</w:t>
      </w:r>
      <w:r w:rsidR="00A310F5" w:rsidRPr="00735892">
        <w:rPr>
          <w:sz w:val="24"/>
          <w:szCs w:val="24"/>
        </w:rPr>
        <w:t xml:space="preserve"> we have considered that distribution of prior is beta, median of prior is 0.25, 99</w:t>
      </w:r>
      <w:r w:rsidR="00A310F5" w:rsidRPr="00735892">
        <w:rPr>
          <w:sz w:val="24"/>
          <w:szCs w:val="24"/>
          <w:vertAlign w:val="superscript"/>
        </w:rPr>
        <w:t>th</w:t>
      </w:r>
      <w:r w:rsidR="00A310F5" w:rsidRPr="00735892">
        <w:rPr>
          <w:sz w:val="24"/>
          <w:szCs w:val="24"/>
        </w:rPr>
        <w:t xml:space="preserve"> percentile of prior is 0.4, and 0.1th percentile is 0.05. Using these values and </w:t>
      </w:r>
      <w:proofErr w:type="spellStart"/>
      <w:r w:rsidR="00A310F5" w:rsidRPr="00735892">
        <w:rPr>
          <w:sz w:val="24"/>
          <w:szCs w:val="24"/>
        </w:rPr>
        <w:t>LearnBayes</w:t>
      </w:r>
      <w:proofErr w:type="spellEnd"/>
      <w:r w:rsidR="00A310F5" w:rsidRPr="00735892">
        <w:rPr>
          <w:sz w:val="24"/>
          <w:szCs w:val="24"/>
        </w:rPr>
        <w:t xml:space="preserve"> library, </w:t>
      </w:r>
      <w:r w:rsidR="004A347D" w:rsidRPr="00735892">
        <w:rPr>
          <w:sz w:val="24"/>
          <w:szCs w:val="24"/>
        </w:rPr>
        <w:t xml:space="preserve">estimated prior distribution is </w:t>
      </w:r>
      <w:proofErr w:type="gramStart"/>
      <w:r w:rsidR="004A347D" w:rsidRPr="00735892">
        <w:rPr>
          <w:sz w:val="24"/>
          <w:szCs w:val="24"/>
        </w:rPr>
        <w:t>Beta(</w:t>
      </w:r>
      <w:proofErr w:type="gramEnd"/>
      <w:r w:rsidR="00AD7125">
        <w:rPr>
          <w:sz w:val="24"/>
          <w:szCs w:val="24"/>
        </w:rPr>
        <w:t>13.71</w:t>
      </w:r>
      <w:r w:rsidR="00BC6FFD">
        <w:rPr>
          <w:sz w:val="24"/>
          <w:szCs w:val="24"/>
        </w:rPr>
        <w:t>0</w:t>
      </w:r>
      <w:r w:rsidR="00AD7125">
        <w:rPr>
          <w:sz w:val="24"/>
          <w:szCs w:val="24"/>
        </w:rPr>
        <w:t>, 91.218</w:t>
      </w:r>
      <w:r w:rsidR="004A347D" w:rsidRPr="00735892">
        <w:rPr>
          <w:sz w:val="24"/>
          <w:szCs w:val="24"/>
        </w:rPr>
        <w:t>)</w:t>
      </w:r>
    </w:p>
    <w:p w14:paraId="64F801FD" w14:textId="77777777" w:rsidR="004A347D" w:rsidRDefault="004A347D" w:rsidP="00913AC4">
      <w:pPr>
        <w:ind w:left="1440"/>
        <w:jc w:val="both"/>
        <w:rPr>
          <w:noProof/>
        </w:rPr>
      </w:pPr>
    </w:p>
    <w:p w14:paraId="19713BF3" w14:textId="48617E8D" w:rsidR="0088789F" w:rsidRDefault="004A347D" w:rsidP="00965BB0">
      <w:pPr>
        <w:ind w:left="1440"/>
        <w:jc w:val="center"/>
      </w:pPr>
      <w:r>
        <w:rPr>
          <w:noProof/>
        </w:rPr>
        <w:lastRenderedPageBreak/>
        <w:drawing>
          <wp:inline distT="0" distB="0" distL="0" distR="0" wp14:anchorId="1A3BF7A0" wp14:editId="37DA45A0">
            <wp:extent cx="2845613" cy="208933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467" r="2743"/>
                    <a:stretch/>
                  </pic:blipFill>
                  <pic:spPr bwMode="auto">
                    <a:xfrm>
                      <a:off x="0" y="0"/>
                      <a:ext cx="2963521" cy="2175902"/>
                    </a:xfrm>
                    <a:prstGeom prst="rect">
                      <a:avLst/>
                    </a:prstGeom>
                    <a:ln>
                      <a:noFill/>
                    </a:ln>
                    <a:extLst>
                      <a:ext uri="{53640926-AAD7-44D8-BBD7-CCE9431645EC}">
                        <a14:shadowObscured xmlns:a14="http://schemas.microsoft.com/office/drawing/2010/main"/>
                      </a:ext>
                    </a:extLst>
                  </pic:spPr>
                </pic:pic>
              </a:graphicData>
            </a:graphic>
          </wp:inline>
        </w:drawing>
      </w:r>
    </w:p>
    <w:p w14:paraId="2815A87A" w14:textId="77777777" w:rsidR="00A575BD" w:rsidRDefault="008D33AD" w:rsidP="00913AC4">
      <w:pPr>
        <w:ind w:left="810"/>
        <w:jc w:val="both"/>
        <w:rPr>
          <w:sz w:val="24"/>
          <w:szCs w:val="24"/>
        </w:rPr>
      </w:pPr>
      <w:r w:rsidRPr="00A575BD">
        <w:rPr>
          <w:sz w:val="24"/>
          <w:szCs w:val="24"/>
        </w:rPr>
        <w:t xml:space="preserve">For </w:t>
      </w:r>
      <w:r w:rsidR="00A575BD" w:rsidRPr="00A575BD">
        <w:rPr>
          <w:sz w:val="24"/>
          <w:szCs w:val="24"/>
        </w:rPr>
        <w:t xml:space="preserve">estimating </w:t>
      </w:r>
      <w:r w:rsidRPr="00A575BD">
        <w:rPr>
          <w:sz w:val="24"/>
          <w:szCs w:val="24"/>
        </w:rPr>
        <w:t xml:space="preserve">likelihood function, </w:t>
      </w:r>
      <w:r w:rsidR="00A575BD" w:rsidRPr="00A575BD">
        <w:rPr>
          <w:sz w:val="24"/>
          <w:szCs w:val="24"/>
        </w:rPr>
        <w:t xml:space="preserve">a random sample of 100 is chosen and it is </w:t>
      </w:r>
      <w:proofErr w:type="gramStart"/>
      <w:r w:rsidR="00A575BD" w:rsidRPr="00A575BD">
        <w:rPr>
          <w:sz w:val="24"/>
          <w:szCs w:val="24"/>
        </w:rPr>
        <w:t>observe</w:t>
      </w:r>
      <w:proofErr w:type="gramEnd"/>
      <w:r w:rsidR="00A575BD" w:rsidRPr="00A575BD">
        <w:rPr>
          <w:sz w:val="24"/>
          <w:szCs w:val="24"/>
        </w:rPr>
        <w:t xml:space="preserve"> that there are 33 successes. </w:t>
      </w:r>
      <w:r w:rsidR="00933350">
        <w:rPr>
          <w:sz w:val="24"/>
          <w:szCs w:val="24"/>
        </w:rPr>
        <w:t xml:space="preserve">The posterior distribution is given by </w:t>
      </w:r>
    </w:p>
    <w:p w14:paraId="61ED29EF" w14:textId="77777777" w:rsidR="00933350" w:rsidRPr="00C335B3" w:rsidRDefault="00933350" w:rsidP="00913AC4">
      <w:pPr>
        <w:ind w:left="810"/>
        <w:jc w:val="both"/>
        <w:rPr>
          <w:i/>
          <w:sz w:val="24"/>
          <w:szCs w:val="24"/>
        </w:rPr>
      </w:pPr>
      <w:proofErr w:type="gramStart"/>
      <w:r w:rsidRPr="00C335B3">
        <w:rPr>
          <w:i/>
          <w:sz w:val="24"/>
          <w:szCs w:val="24"/>
        </w:rPr>
        <w:t>Beta( (</w:t>
      </w:r>
      <w:proofErr w:type="gramEnd"/>
      <w:r w:rsidRPr="00C335B3">
        <w:rPr>
          <w:i/>
          <w:sz w:val="24"/>
          <w:szCs w:val="24"/>
        </w:rPr>
        <w:t>alpha of prior) + successes, (beta of prior) + total observations – success )</w:t>
      </w:r>
    </w:p>
    <w:p w14:paraId="626E98F4" w14:textId="77777777" w:rsidR="00933350" w:rsidRDefault="00933350" w:rsidP="00913AC4">
      <w:pPr>
        <w:ind w:left="810"/>
        <w:jc w:val="both"/>
        <w:rPr>
          <w:sz w:val="24"/>
          <w:szCs w:val="24"/>
        </w:rPr>
      </w:pPr>
      <w:r>
        <w:rPr>
          <w:sz w:val="24"/>
          <w:szCs w:val="24"/>
        </w:rPr>
        <w:t xml:space="preserve">The obtained beta distribution is Beta </w:t>
      </w:r>
      <w:proofErr w:type="gramStart"/>
      <w:r>
        <w:rPr>
          <w:sz w:val="24"/>
          <w:szCs w:val="24"/>
        </w:rPr>
        <w:t>( 46.71</w:t>
      </w:r>
      <w:proofErr w:type="gramEnd"/>
      <w:r>
        <w:rPr>
          <w:sz w:val="24"/>
          <w:szCs w:val="24"/>
        </w:rPr>
        <w:t>, 158.219)</w:t>
      </w:r>
    </w:p>
    <w:p w14:paraId="47EEAE65" w14:textId="77777777" w:rsidR="005B095A" w:rsidRDefault="004E0DC2" w:rsidP="00965BB0">
      <w:pPr>
        <w:ind w:left="810"/>
        <w:jc w:val="center"/>
        <w:rPr>
          <w:sz w:val="24"/>
          <w:szCs w:val="24"/>
        </w:rPr>
      </w:pPr>
      <w:r>
        <w:rPr>
          <w:noProof/>
        </w:rPr>
        <w:drawing>
          <wp:inline distT="0" distB="0" distL="0" distR="0" wp14:anchorId="10277289" wp14:editId="5461A7F1">
            <wp:extent cx="2926510" cy="222458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8180" cy="2248659"/>
                    </a:xfrm>
                    <a:prstGeom prst="rect">
                      <a:avLst/>
                    </a:prstGeom>
                  </pic:spPr>
                </pic:pic>
              </a:graphicData>
            </a:graphic>
          </wp:inline>
        </w:drawing>
      </w:r>
    </w:p>
    <w:p w14:paraId="2AA525CB" w14:textId="77777777" w:rsidR="005F499E" w:rsidRPr="0034312F" w:rsidRDefault="005F499E" w:rsidP="00913AC4">
      <w:pPr>
        <w:ind w:left="810"/>
        <w:jc w:val="both"/>
        <w:rPr>
          <w:sz w:val="24"/>
        </w:rPr>
      </w:pPr>
      <w:r w:rsidRPr="0034312F">
        <w:rPr>
          <w:sz w:val="24"/>
        </w:rPr>
        <w:t>Statistics of posterior distribution:</w:t>
      </w:r>
    </w:p>
    <w:p w14:paraId="62D9F304" w14:textId="77777777" w:rsidR="009D079F" w:rsidRPr="0034312F" w:rsidRDefault="00C65DE7" w:rsidP="00913AC4">
      <w:pPr>
        <w:ind w:left="810"/>
        <w:jc w:val="both"/>
        <w:rPr>
          <w:sz w:val="24"/>
        </w:rPr>
      </w:pPr>
      <w:r w:rsidRPr="0034312F">
        <w:rPr>
          <w:sz w:val="24"/>
        </w:rPr>
        <w:t>Mean of posterior distribution = 0.228</w:t>
      </w:r>
    </w:p>
    <w:p w14:paraId="688D503D" w14:textId="6C35B126" w:rsidR="00B317E0" w:rsidRPr="0034312F" w:rsidRDefault="00B317E0" w:rsidP="00913AC4">
      <w:pPr>
        <w:ind w:left="810"/>
        <w:jc w:val="both"/>
        <w:rPr>
          <w:sz w:val="24"/>
        </w:rPr>
      </w:pPr>
      <w:r w:rsidRPr="0034312F">
        <w:rPr>
          <w:sz w:val="24"/>
        </w:rPr>
        <w:t>Variance of posterior distribution = 36.24</w:t>
      </w:r>
    </w:p>
    <w:p w14:paraId="104C35CA" w14:textId="77777777" w:rsidR="00235689" w:rsidRDefault="00235689" w:rsidP="00913AC4">
      <w:pPr>
        <w:ind w:left="0"/>
        <w:jc w:val="both"/>
      </w:pPr>
    </w:p>
    <w:p w14:paraId="56B84300" w14:textId="7676E2AB" w:rsidR="00235689" w:rsidRDefault="001B4815" w:rsidP="00913AC4">
      <w:pPr>
        <w:pStyle w:val="Heading1"/>
        <w:numPr>
          <w:ilvl w:val="0"/>
          <w:numId w:val="15"/>
        </w:numPr>
        <w:jc w:val="both"/>
      </w:pPr>
      <w:r>
        <w:t>CONCLUSION</w:t>
      </w:r>
    </w:p>
    <w:p w14:paraId="49E2AC89" w14:textId="1801EBB3" w:rsidR="00430B05" w:rsidRDefault="00430B05" w:rsidP="00913AC4">
      <w:pPr>
        <w:jc w:val="both"/>
      </w:pPr>
    </w:p>
    <w:p w14:paraId="7E2C9244" w14:textId="0D30B707" w:rsidR="00C45D43" w:rsidRDefault="00430B05" w:rsidP="00913AC4">
      <w:pPr>
        <w:jc w:val="both"/>
      </w:pPr>
      <w:r w:rsidRPr="0088523B">
        <w:rPr>
          <w:sz w:val="24"/>
          <w:szCs w:val="24"/>
        </w:rPr>
        <w:t xml:space="preserve">The cognitive scores of </w:t>
      </w:r>
      <w:proofErr w:type="gramStart"/>
      <w:r w:rsidRPr="0088523B">
        <w:rPr>
          <w:sz w:val="24"/>
          <w:szCs w:val="24"/>
        </w:rPr>
        <w:t>1.5 year old</w:t>
      </w:r>
      <w:proofErr w:type="gramEnd"/>
      <w:r w:rsidRPr="0088523B">
        <w:rPr>
          <w:sz w:val="24"/>
          <w:szCs w:val="24"/>
        </w:rPr>
        <w:t xml:space="preserve"> infants is analyzed and it is observed that the distribution of cognitive scores is close to normal. </w:t>
      </w:r>
      <w:r w:rsidR="00EF29D7" w:rsidRPr="0088523B">
        <w:rPr>
          <w:sz w:val="24"/>
          <w:szCs w:val="24"/>
        </w:rPr>
        <w:t xml:space="preserve">An empirical CDF is also calculated with 95% confidence bands. Then we calculated the MLE of difference between the means of cognitive scores of treatment group and control group and 95% confidence interval for the MLE is calculated using various methods – non-parametric bootstrap, parametric bootstrap (assuming the scores are normally distributed), and analytical method. It is observed that the confidence limits obtained </w:t>
      </w:r>
      <w:r w:rsidR="00EF29D7" w:rsidRPr="0088523B">
        <w:rPr>
          <w:sz w:val="24"/>
          <w:szCs w:val="24"/>
        </w:rPr>
        <w:lastRenderedPageBreak/>
        <w:t xml:space="preserve">are </w:t>
      </w:r>
      <w:r w:rsidR="00726545">
        <w:rPr>
          <w:sz w:val="24"/>
          <w:szCs w:val="24"/>
        </w:rPr>
        <w:t>almost same in all the methods. From the hypothesis test on difference of means of cognitive scores of treatment and control group, we conclude</w:t>
      </w:r>
      <w:r w:rsidR="00466EE1">
        <w:rPr>
          <w:sz w:val="24"/>
          <w:szCs w:val="24"/>
        </w:rPr>
        <w:t>d</w:t>
      </w:r>
      <w:r w:rsidR="00726545">
        <w:rPr>
          <w:sz w:val="24"/>
          <w:szCs w:val="24"/>
        </w:rPr>
        <w:t xml:space="preserve"> that there is significant difference between the two groups</w:t>
      </w:r>
      <w:r w:rsidR="00CD1382">
        <w:rPr>
          <w:sz w:val="24"/>
          <w:szCs w:val="24"/>
        </w:rPr>
        <w:t xml:space="preserve">. A posterior distribution of </w:t>
      </w:r>
      <w:r w:rsidR="00CD1382" w:rsidRPr="00751103">
        <w:rPr>
          <w:sz w:val="24"/>
          <w:szCs w:val="24"/>
        </w:rPr>
        <w:t>proportion of infants with High cognitive scores</w:t>
      </w:r>
      <w:r w:rsidR="00CD1382">
        <w:rPr>
          <w:sz w:val="24"/>
          <w:szCs w:val="24"/>
        </w:rPr>
        <w:t xml:space="preserve"> is also calculated assuming a beta prior distribution.</w:t>
      </w:r>
    </w:p>
    <w:p w14:paraId="0EF44207" w14:textId="77777777" w:rsidR="00C45D43" w:rsidRPr="00A978E1" w:rsidRDefault="00C45D43" w:rsidP="00913AC4">
      <w:pPr>
        <w:jc w:val="both"/>
      </w:pPr>
    </w:p>
    <w:p w14:paraId="4B95BBD1" w14:textId="77777777" w:rsidR="00C45D43" w:rsidRDefault="00C45D43" w:rsidP="00913AC4">
      <w:pPr>
        <w:pStyle w:val="Heading1"/>
        <w:numPr>
          <w:ilvl w:val="0"/>
          <w:numId w:val="15"/>
        </w:numPr>
        <w:jc w:val="both"/>
      </w:pPr>
      <w:r>
        <w:t>Bibiliography</w:t>
      </w:r>
    </w:p>
    <w:p w14:paraId="4A532062" w14:textId="77777777" w:rsidR="002A372B" w:rsidRDefault="002A372B" w:rsidP="00913AC4">
      <w:pPr>
        <w:pStyle w:val="ListParagraph"/>
        <w:numPr>
          <w:ilvl w:val="0"/>
          <w:numId w:val="16"/>
        </w:numPr>
        <w:autoSpaceDE w:val="0"/>
        <w:autoSpaceDN w:val="0"/>
        <w:adjustRightInd w:val="0"/>
        <w:spacing w:after="0"/>
        <w:ind w:right="0"/>
        <w:jc w:val="both"/>
        <w:rPr>
          <w:rFonts w:ascii="Calibri" w:hAnsi="Calibri" w:cs="Calibri"/>
          <w:kern w:val="0"/>
          <w:sz w:val="21"/>
          <w:szCs w:val="21"/>
        </w:rPr>
      </w:pPr>
      <w:r w:rsidRPr="002A372B">
        <w:rPr>
          <w:rFonts w:ascii="Calibri" w:hAnsi="Calibri" w:cs="Calibri"/>
          <w:kern w:val="0"/>
          <w:sz w:val="21"/>
          <w:szCs w:val="21"/>
        </w:rPr>
        <w:t>All of Statistics: A Concise Course in Statistical Inference by Larry Wasserman</w:t>
      </w:r>
    </w:p>
    <w:p w14:paraId="720E392C" w14:textId="77777777" w:rsidR="00C45D43" w:rsidRDefault="002A372B" w:rsidP="00913AC4">
      <w:pPr>
        <w:pStyle w:val="ListParagraph"/>
        <w:numPr>
          <w:ilvl w:val="0"/>
          <w:numId w:val="16"/>
        </w:numPr>
        <w:autoSpaceDE w:val="0"/>
        <w:autoSpaceDN w:val="0"/>
        <w:adjustRightInd w:val="0"/>
        <w:spacing w:after="0"/>
        <w:ind w:right="0"/>
        <w:jc w:val="both"/>
        <w:rPr>
          <w:rFonts w:ascii="Calibri" w:hAnsi="Calibri" w:cs="Calibri"/>
          <w:kern w:val="0"/>
          <w:sz w:val="21"/>
          <w:szCs w:val="21"/>
        </w:rPr>
      </w:pPr>
      <w:r w:rsidRPr="002A372B">
        <w:rPr>
          <w:rFonts w:ascii="Calibri" w:hAnsi="Calibri" w:cs="Calibri"/>
          <w:kern w:val="0"/>
          <w:sz w:val="21"/>
          <w:szCs w:val="21"/>
        </w:rPr>
        <w:t xml:space="preserve"> </w:t>
      </w:r>
      <w:hyperlink r:id="rId12" w:history="1">
        <w:r w:rsidR="00D77202" w:rsidRPr="0094639F">
          <w:rPr>
            <w:rStyle w:val="Hyperlink"/>
            <w:rFonts w:ascii="Calibri" w:hAnsi="Calibri" w:cs="Calibri"/>
            <w:kern w:val="0"/>
            <w:sz w:val="21"/>
            <w:szCs w:val="21"/>
          </w:rPr>
          <w:t>http://a-little-book-of-r-for-bayesian-statistics.readthedocs.io/en/latest/src/bayesianstats.html</w:t>
        </w:r>
      </w:hyperlink>
    </w:p>
    <w:p w14:paraId="26B44A91" w14:textId="77777777" w:rsidR="00D91C85" w:rsidRDefault="000F3C04" w:rsidP="00913AC4">
      <w:pPr>
        <w:pStyle w:val="ListParagraph"/>
        <w:numPr>
          <w:ilvl w:val="0"/>
          <w:numId w:val="16"/>
        </w:numPr>
        <w:autoSpaceDE w:val="0"/>
        <w:autoSpaceDN w:val="0"/>
        <w:adjustRightInd w:val="0"/>
        <w:spacing w:after="0"/>
        <w:ind w:right="0"/>
        <w:jc w:val="both"/>
        <w:rPr>
          <w:rFonts w:ascii="Calibri" w:hAnsi="Calibri" w:cs="Calibri"/>
          <w:kern w:val="0"/>
          <w:sz w:val="21"/>
          <w:szCs w:val="21"/>
        </w:rPr>
      </w:pPr>
      <w:hyperlink r:id="rId13" w:history="1">
        <w:r w:rsidR="000B3043" w:rsidRPr="0094639F">
          <w:rPr>
            <w:rStyle w:val="Hyperlink"/>
            <w:rFonts w:ascii="Calibri" w:hAnsi="Calibri" w:cs="Calibri"/>
            <w:kern w:val="0"/>
            <w:sz w:val="21"/>
            <w:szCs w:val="21"/>
          </w:rPr>
          <w:t>https://cran.r-project.org/web/packages/mlmRev/mlmRev.pdf</w:t>
        </w:r>
      </w:hyperlink>
    </w:p>
    <w:p w14:paraId="6D9D60A2" w14:textId="77777777" w:rsidR="00D77202" w:rsidRPr="00D77202" w:rsidRDefault="00D77202" w:rsidP="00D77202">
      <w:pPr>
        <w:autoSpaceDE w:val="0"/>
        <w:autoSpaceDN w:val="0"/>
        <w:adjustRightInd w:val="0"/>
        <w:spacing w:after="0"/>
        <w:ind w:right="0"/>
        <w:rPr>
          <w:rFonts w:ascii="Calibri" w:hAnsi="Calibri" w:cs="Calibri"/>
          <w:kern w:val="0"/>
          <w:sz w:val="21"/>
          <w:szCs w:val="21"/>
        </w:rPr>
      </w:pPr>
    </w:p>
    <w:p w14:paraId="5F214697" w14:textId="77777777" w:rsidR="00BF59CB" w:rsidRDefault="00BF59CB" w:rsidP="00BF59CB">
      <w:bookmarkStart w:id="0" w:name="_GoBack"/>
      <w:bookmarkEnd w:id="0"/>
    </w:p>
    <w:p w14:paraId="7762B7B9" w14:textId="77777777" w:rsidR="00BF59CB" w:rsidRPr="00BF59CB" w:rsidRDefault="00BF59CB" w:rsidP="00BF59CB"/>
    <w:p w14:paraId="212F2F51" w14:textId="77777777" w:rsidR="007A67EB" w:rsidRPr="007A67EB" w:rsidRDefault="007A67EB" w:rsidP="007A67EB"/>
    <w:p w14:paraId="2A36FAB0" w14:textId="77777777" w:rsidR="00F164CA" w:rsidRPr="00F164CA" w:rsidRDefault="00F164CA" w:rsidP="00F164CA">
      <w:pPr>
        <w:pStyle w:val="ListParagraph"/>
        <w:ind w:left="432"/>
      </w:pPr>
    </w:p>
    <w:sectPr w:rsidR="00F164CA" w:rsidRPr="00F164CA">
      <w:foot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936B9" w14:textId="77777777" w:rsidR="000F3C04" w:rsidRDefault="000F3C04">
      <w:r>
        <w:separator/>
      </w:r>
    </w:p>
    <w:p w14:paraId="1C2553E4" w14:textId="77777777" w:rsidR="000F3C04" w:rsidRDefault="000F3C04"/>
  </w:endnote>
  <w:endnote w:type="continuationSeparator" w:id="0">
    <w:p w14:paraId="06184275" w14:textId="77777777" w:rsidR="000F3C04" w:rsidRDefault="000F3C04">
      <w:r>
        <w:continuationSeparator/>
      </w:r>
    </w:p>
    <w:p w14:paraId="6BBA3F1E" w14:textId="77777777" w:rsidR="000F3C04" w:rsidRDefault="000F3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59BE8092" w14:textId="77777777" w:rsidTr="00B87079">
      <w:tc>
        <w:tcPr>
          <w:tcW w:w="750" w:type="pct"/>
        </w:tcPr>
        <w:p w14:paraId="48BED721" w14:textId="77777777" w:rsidR="00907CBB" w:rsidRDefault="00907CBB">
          <w:pPr>
            <w:pStyle w:val="Footer"/>
          </w:pPr>
        </w:p>
      </w:tc>
      <w:tc>
        <w:tcPr>
          <w:tcW w:w="3500" w:type="pct"/>
        </w:tcPr>
        <w:p w14:paraId="5C4FD9A3" w14:textId="77777777" w:rsidR="00907CBB" w:rsidRDefault="00907CBB" w:rsidP="00B87079">
          <w:pPr>
            <w:pStyle w:val="Footer"/>
            <w:jc w:val="center"/>
          </w:pPr>
        </w:p>
      </w:tc>
      <w:tc>
        <w:tcPr>
          <w:tcW w:w="750" w:type="pct"/>
        </w:tcPr>
        <w:p w14:paraId="7E5D3B72" w14:textId="77777777"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7C573A20"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F4B63" w14:textId="77777777" w:rsidR="000F3C04" w:rsidRDefault="000F3C04">
      <w:r>
        <w:separator/>
      </w:r>
    </w:p>
    <w:p w14:paraId="3F8BD448" w14:textId="77777777" w:rsidR="000F3C04" w:rsidRDefault="000F3C04"/>
  </w:footnote>
  <w:footnote w:type="continuationSeparator" w:id="0">
    <w:p w14:paraId="3E54B552" w14:textId="77777777" w:rsidR="000F3C04" w:rsidRDefault="000F3C04">
      <w:r>
        <w:continuationSeparator/>
      </w:r>
    </w:p>
    <w:p w14:paraId="52BCEDEB" w14:textId="77777777" w:rsidR="000F3C04" w:rsidRDefault="000F3C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8C1A0" w14:textId="77777777"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5B4A163D" wp14:editId="444416AC">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A079A38"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35AA8"/>
    <w:multiLevelType w:val="multilevel"/>
    <w:tmpl w:val="6D2CB33A"/>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2" w15:restartNumberingAfterBreak="0">
    <w:nsid w:val="5CC42702"/>
    <w:multiLevelType w:val="hybridMultilevel"/>
    <w:tmpl w:val="790EB0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B55C8"/>
    <w:multiLevelType w:val="hybridMultilevel"/>
    <w:tmpl w:val="35FEDD04"/>
    <w:lvl w:ilvl="0" w:tplc="A790B070">
      <w:start w:val="3"/>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6AC55A3F"/>
    <w:multiLevelType w:val="hybridMultilevel"/>
    <w:tmpl w:val="7F5C9126"/>
    <w:lvl w:ilvl="0" w:tplc="124C34F2">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6C6115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5"/>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B8"/>
    <w:rsid w:val="00014E7C"/>
    <w:rsid w:val="0003505F"/>
    <w:rsid w:val="000619CF"/>
    <w:rsid w:val="0006561E"/>
    <w:rsid w:val="00067E02"/>
    <w:rsid w:val="00085358"/>
    <w:rsid w:val="0009326D"/>
    <w:rsid w:val="000963A4"/>
    <w:rsid w:val="000A3F5C"/>
    <w:rsid w:val="000B3043"/>
    <w:rsid w:val="000C2496"/>
    <w:rsid w:val="000F3C04"/>
    <w:rsid w:val="00107CB6"/>
    <w:rsid w:val="00131E92"/>
    <w:rsid w:val="0013333F"/>
    <w:rsid w:val="001350AC"/>
    <w:rsid w:val="0014471C"/>
    <w:rsid w:val="00146C77"/>
    <w:rsid w:val="00176CE5"/>
    <w:rsid w:val="001833EF"/>
    <w:rsid w:val="00193898"/>
    <w:rsid w:val="001971AE"/>
    <w:rsid w:val="001B4815"/>
    <w:rsid w:val="001C326F"/>
    <w:rsid w:val="001D3FFE"/>
    <w:rsid w:val="00221E4B"/>
    <w:rsid w:val="00222EFD"/>
    <w:rsid w:val="00230933"/>
    <w:rsid w:val="00235689"/>
    <w:rsid w:val="002503F4"/>
    <w:rsid w:val="00260182"/>
    <w:rsid w:val="002625D9"/>
    <w:rsid w:val="002646C0"/>
    <w:rsid w:val="0028148F"/>
    <w:rsid w:val="002A372B"/>
    <w:rsid w:val="002B21AE"/>
    <w:rsid w:val="002D637C"/>
    <w:rsid w:val="00312DD5"/>
    <w:rsid w:val="003131E4"/>
    <w:rsid w:val="003205DC"/>
    <w:rsid w:val="0033593E"/>
    <w:rsid w:val="0034100C"/>
    <w:rsid w:val="0034312F"/>
    <w:rsid w:val="00382A78"/>
    <w:rsid w:val="003E6FB0"/>
    <w:rsid w:val="003F209E"/>
    <w:rsid w:val="00423432"/>
    <w:rsid w:val="00427BEF"/>
    <w:rsid w:val="00430B05"/>
    <w:rsid w:val="00451B4D"/>
    <w:rsid w:val="00452589"/>
    <w:rsid w:val="004534A5"/>
    <w:rsid w:val="004566FA"/>
    <w:rsid w:val="00466EE1"/>
    <w:rsid w:val="004725B2"/>
    <w:rsid w:val="004752E3"/>
    <w:rsid w:val="00495232"/>
    <w:rsid w:val="004A347D"/>
    <w:rsid w:val="004A4EC4"/>
    <w:rsid w:val="004E0DC2"/>
    <w:rsid w:val="005331CA"/>
    <w:rsid w:val="005504AE"/>
    <w:rsid w:val="00550F3A"/>
    <w:rsid w:val="00552AA1"/>
    <w:rsid w:val="00554AD7"/>
    <w:rsid w:val="00556735"/>
    <w:rsid w:val="00586F81"/>
    <w:rsid w:val="00587F28"/>
    <w:rsid w:val="00587F8F"/>
    <w:rsid w:val="005B095A"/>
    <w:rsid w:val="005F499E"/>
    <w:rsid w:val="005F68B8"/>
    <w:rsid w:val="006027A8"/>
    <w:rsid w:val="006106C9"/>
    <w:rsid w:val="006138C7"/>
    <w:rsid w:val="00635489"/>
    <w:rsid w:val="00660B21"/>
    <w:rsid w:val="00676855"/>
    <w:rsid w:val="00706267"/>
    <w:rsid w:val="00714CE5"/>
    <w:rsid w:val="00726545"/>
    <w:rsid w:val="007312BC"/>
    <w:rsid w:val="00735892"/>
    <w:rsid w:val="00736E05"/>
    <w:rsid w:val="00741D46"/>
    <w:rsid w:val="00751103"/>
    <w:rsid w:val="00755232"/>
    <w:rsid w:val="00755828"/>
    <w:rsid w:val="007A67EB"/>
    <w:rsid w:val="007B6D26"/>
    <w:rsid w:val="007E6B4E"/>
    <w:rsid w:val="007E74C5"/>
    <w:rsid w:val="00822A8D"/>
    <w:rsid w:val="00831731"/>
    <w:rsid w:val="0083410C"/>
    <w:rsid w:val="00852FE0"/>
    <w:rsid w:val="008736B9"/>
    <w:rsid w:val="00874542"/>
    <w:rsid w:val="0088523B"/>
    <w:rsid w:val="0088789F"/>
    <w:rsid w:val="00896DF4"/>
    <w:rsid w:val="008C3805"/>
    <w:rsid w:val="008D33AD"/>
    <w:rsid w:val="0090248F"/>
    <w:rsid w:val="00907CBB"/>
    <w:rsid w:val="00913AC4"/>
    <w:rsid w:val="00913AE4"/>
    <w:rsid w:val="00922FB8"/>
    <w:rsid w:val="00933350"/>
    <w:rsid w:val="009636F0"/>
    <w:rsid w:val="00965BB0"/>
    <w:rsid w:val="00975A43"/>
    <w:rsid w:val="00976A9B"/>
    <w:rsid w:val="00986E53"/>
    <w:rsid w:val="0099011A"/>
    <w:rsid w:val="0099384F"/>
    <w:rsid w:val="009973FF"/>
    <w:rsid w:val="009A127B"/>
    <w:rsid w:val="009A32A1"/>
    <w:rsid w:val="009B2537"/>
    <w:rsid w:val="009D079F"/>
    <w:rsid w:val="009D0CBB"/>
    <w:rsid w:val="009D1DC4"/>
    <w:rsid w:val="009E2FB0"/>
    <w:rsid w:val="00A052D0"/>
    <w:rsid w:val="00A310F5"/>
    <w:rsid w:val="00A575BD"/>
    <w:rsid w:val="00A662A1"/>
    <w:rsid w:val="00A719B7"/>
    <w:rsid w:val="00A72CC5"/>
    <w:rsid w:val="00A978E1"/>
    <w:rsid w:val="00AB2842"/>
    <w:rsid w:val="00AB298D"/>
    <w:rsid w:val="00AD7125"/>
    <w:rsid w:val="00B07712"/>
    <w:rsid w:val="00B1153E"/>
    <w:rsid w:val="00B317E0"/>
    <w:rsid w:val="00B3515F"/>
    <w:rsid w:val="00B5166C"/>
    <w:rsid w:val="00B55F12"/>
    <w:rsid w:val="00B8161F"/>
    <w:rsid w:val="00B87079"/>
    <w:rsid w:val="00B96B7B"/>
    <w:rsid w:val="00BC6FFD"/>
    <w:rsid w:val="00BD63A1"/>
    <w:rsid w:val="00BF3BB3"/>
    <w:rsid w:val="00BF4602"/>
    <w:rsid w:val="00BF59CB"/>
    <w:rsid w:val="00BF7813"/>
    <w:rsid w:val="00C16E3F"/>
    <w:rsid w:val="00C335B3"/>
    <w:rsid w:val="00C37DDA"/>
    <w:rsid w:val="00C41938"/>
    <w:rsid w:val="00C45D43"/>
    <w:rsid w:val="00C52EC6"/>
    <w:rsid w:val="00C64B77"/>
    <w:rsid w:val="00C65DE7"/>
    <w:rsid w:val="00CA701B"/>
    <w:rsid w:val="00CB07D0"/>
    <w:rsid w:val="00CB2A1C"/>
    <w:rsid w:val="00CB32DA"/>
    <w:rsid w:val="00CB5473"/>
    <w:rsid w:val="00CC2CB6"/>
    <w:rsid w:val="00CD0EC0"/>
    <w:rsid w:val="00CD1382"/>
    <w:rsid w:val="00D06844"/>
    <w:rsid w:val="00D23B87"/>
    <w:rsid w:val="00D402AA"/>
    <w:rsid w:val="00D46D8B"/>
    <w:rsid w:val="00D77202"/>
    <w:rsid w:val="00D810D2"/>
    <w:rsid w:val="00D91C85"/>
    <w:rsid w:val="00DA0B66"/>
    <w:rsid w:val="00DD4E2C"/>
    <w:rsid w:val="00E279B8"/>
    <w:rsid w:val="00E37F22"/>
    <w:rsid w:val="00E564A4"/>
    <w:rsid w:val="00E72BE8"/>
    <w:rsid w:val="00E756E6"/>
    <w:rsid w:val="00E825D8"/>
    <w:rsid w:val="00E91FEE"/>
    <w:rsid w:val="00EA05B8"/>
    <w:rsid w:val="00EA740D"/>
    <w:rsid w:val="00EB203B"/>
    <w:rsid w:val="00EB27EB"/>
    <w:rsid w:val="00ED1085"/>
    <w:rsid w:val="00EE4168"/>
    <w:rsid w:val="00EF29D7"/>
    <w:rsid w:val="00F164CA"/>
    <w:rsid w:val="00F507A6"/>
    <w:rsid w:val="00F5613C"/>
    <w:rsid w:val="00FB220D"/>
    <w:rsid w:val="00FD0FBC"/>
    <w:rsid w:val="00FE10BA"/>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2CA9F2"/>
  <w15:chartTrackingRefBased/>
  <w15:docId w15:val="{A820B99C-567B-40DD-9CAB-3819DAEA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F164CA"/>
    <w:pPr>
      <w:ind w:left="720"/>
      <w:contextualSpacing/>
    </w:pPr>
  </w:style>
  <w:style w:type="character" w:styleId="UnresolvedMention">
    <w:name w:val="Unresolved Mention"/>
    <w:basedOn w:val="DefaultParagraphFont"/>
    <w:uiPriority w:val="99"/>
    <w:semiHidden/>
    <w:unhideWhenUsed/>
    <w:rsid w:val="00D77202"/>
    <w:rPr>
      <w:color w:val="605E5C"/>
      <w:shd w:val="clear" w:color="auto" w:fill="E1DFDD"/>
    </w:rPr>
  </w:style>
  <w:style w:type="paragraph" w:customStyle="1" w:styleId="FirstParagraph">
    <w:name w:val="First Paragraph"/>
    <w:basedOn w:val="BodyText"/>
    <w:next w:val="BodyText"/>
    <w:qFormat/>
    <w:rsid w:val="00BF59CB"/>
    <w:pPr>
      <w:spacing w:before="180" w:after="180"/>
      <w:ind w:left="0" w:right="0"/>
    </w:pPr>
    <w:rPr>
      <w:rFonts w:eastAsiaTheme="minorHAnsi"/>
      <w:kern w:val="0"/>
      <w:sz w:val="24"/>
      <w:szCs w:val="24"/>
      <w:lang w:eastAsia="en-US"/>
      <w14:ligatures w14:val="none"/>
    </w:rPr>
  </w:style>
  <w:style w:type="character" w:customStyle="1" w:styleId="VerbatimChar">
    <w:name w:val="Verbatim Char"/>
    <w:basedOn w:val="DefaultParagraphFont"/>
    <w:link w:val="SourceCode"/>
    <w:locked/>
    <w:rsid w:val="00BF59CB"/>
    <w:rPr>
      <w:rFonts w:ascii="Consolas" w:hAnsi="Consolas"/>
      <w:shd w:val="clear" w:color="auto" w:fill="F8F8F8"/>
    </w:rPr>
  </w:style>
  <w:style w:type="paragraph" w:customStyle="1" w:styleId="SourceCode">
    <w:name w:val="Source Code"/>
    <w:basedOn w:val="Normal"/>
    <w:link w:val="VerbatimChar"/>
    <w:rsid w:val="00BF59CB"/>
    <w:pPr>
      <w:shd w:val="clear" w:color="auto" w:fill="F8F8F8"/>
      <w:wordWrap w:val="0"/>
      <w:spacing w:after="200"/>
      <w:ind w:left="0" w:right="0"/>
    </w:pPr>
    <w:rPr>
      <w:rFonts w:ascii="Consolas" w:hAnsi="Consolas"/>
    </w:rPr>
  </w:style>
  <w:style w:type="character" w:customStyle="1" w:styleId="KeywordTok">
    <w:name w:val="KeywordTok"/>
    <w:basedOn w:val="VerbatimChar"/>
    <w:rsid w:val="00BF59CB"/>
    <w:rPr>
      <w:rFonts w:ascii="Consolas" w:hAnsi="Consolas"/>
      <w:b/>
      <w:bCs w:val="0"/>
      <w:color w:val="204A87"/>
      <w:shd w:val="clear" w:color="auto" w:fill="F8F8F8"/>
    </w:rPr>
  </w:style>
  <w:style w:type="character" w:customStyle="1" w:styleId="DataTypeTok">
    <w:name w:val="DataTypeTok"/>
    <w:basedOn w:val="VerbatimChar"/>
    <w:rsid w:val="00BF59CB"/>
    <w:rPr>
      <w:rFonts w:ascii="Consolas" w:hAnsi="Consolas"/>
      <w:color w:val="204A87"/>
      <w:shd w:val="clear" w:color="auto" w:fill="F8F8F8"/>
    </w:rPr>
  </w:style>
  <w:style w:type="character" w:customStyle="1" w:styleId="DecValTok">
    <w:name w:val="DecValTok"/>
    <w:basedOn w:val="VerbatimChar"/>
    <w:rsid w:val="00BF59CB"/>
    <w:rPr>
      <w:rFonts w:ascii="Consolas" w:hAnsi="Consolas"/>
      <w:color w:val="0000CF"/>
      <w:shd w:val="clear" w:color="auto" w:fill="F8F8F8"/>
    </w:rPr>
  </w:style>
  <w:style w:type="character" w:customStyle="1" w:styleId="FloatTok">
    <w:name w:val="FloatTok"/>
    <w:basedOn w:val="VerbatimChar"/>
    <w:rsid w:val="00BF59CB"/>
    <w:rPr>
      <w:rFonts w:ascii="Consolas" w:hAnsi="Consolas"/>
      <w:color w:val="0000CF"/>
      <w:shd w:val="clear" w:color="auto" w:fill="F8F8F8"/>
    </w:rPr>
  </w:style>
  <w:style w:type="character" w:customStyle="1" w:styleId="StringTok">
    <w:name w:val="StringTok"/>
    <w:basedOn w:val="VerbatimChar"/>
    <w:rsid w:val="00BF59CB"/>
    <w:rPr>
      <w:rFonts w:ascii="Consolas" w:hAnsi="Consolas"/>
      <w:color w:val="4E9A06"/>
      <w:shd w:val="clear" w:color="auto" w:fill="F8F8F8"/>
    </w:rPr>
  </w:style>
  <w:style w:type="character" w:customStyle="1" w:styleId="CommentTok">
    <w:name w:val="CommentTok"/>
    <w:basedOn w:val="VerbatimChar"/>
    <w:rsid w:val="00BF59CB"/>
    <w:rPr>
      <w:rFonts w:ascii="Consolas" w:hAnsi="Consolas"/>
      <w:i/>
      <w:iCs w:val="0"/>
      <w:color w:val="8F5902"/>
      <w:shd w:val="clear" w:color="auto" w:fill="F8F8F8"/>
    </w:rPr>
  </w:style>
  <w:style w:type="character" w:customStyle="1" w:styleId="ControlFlowTok">
    <w:name w:val="ControlFlowTok"/>
    <w:basedOn w:val="VerbatimChar"/>
    <w:rsid w:val="00BF59CB"/>
    <w:rPr>
      <w:rFonts w:ascii="Consolas" w:hAnsi="Consolas"/>
      <w:b/>
      <w:bCs w:val="0"/>
      <w:color w:val="204A87"/>
      <w:shd w:val="clear" w:color="auto" w:fill="F8F8F8"/>
    </w:rPr>
  </w:style>
  <w:style w:type="character" w:customStyle="1" w:styleId="OperatorTok">
    <w:name w:val="OperatorTok"/>
    <w:basedOn w:val="VerbatimChar"/>
    <w:rsid w:val="00BF59CB"/>
    <w:rPr>
      <w:rFonts w:ascii="Consolas" w:hAnsi="Consolas"/>
      <w:b/>
      <w:bCs w:val="0"/>
      <w:color w:val="CE5C00"/>
      <w:shd w:val="clear" w:color="auto" w:fill="F8F8F8"/>
    </w:rPr>
  </w:style>
  <w:style w:type="character" w:customStyle="1" w:styleId="NormalTok">
    <w:name w:val="NormalTok"/>
    <w:basedOn w:val="VerbatimChar"/>
    <w:rsid w:val="00BF59CB"/>
    <w:rPr>
      <w:rFonts w:ascii="Consolas" w:hAnsi="Consolas"/>
      <w:shd w:val="clear" w:color="auto" w:fill="F8F8F8"/>
    </w:rPr>
  </w:style>
  <w:style w:type="paragraph" w:styleId="BodyText">
    <w:name w:val="Body Text"/>
    <w:basedOn w:val="Normal"/>
    <w:link w:val="BodyTextChar"/>
    <w:uiPriority w:val="99"/>
    <w:semiHidden/>
    <w:unhideWhenUsed/>
    <w:rsid w:val="00BF59CB"/>
  </w:style>
  <w:style w:type="character" w:customStyle="1" w:styleId="BodyTextChar">
    <w:name w:val="Body Text Char"/>
    <w:basedOn w:val="DefaultParagraphFont"/>
    <w:link w:val="BodyText"/>
    <w:uiPriority w:val="99"/>
    <w:semiHidden/>
    <w:rsid w:val="00BF59CB"/>
  </w:style>
  <w:style w:type="paragraph" w:styleId="BalloonText">
    <w:name w:val="Balloon Text"/>
    <w:basedOn w:val="Normal"/>
    <w:link w:val="BalloonTextChar"/>
    <w:uiPriority w:val="99"/>
    <w:semiHidden/>
    <w:unhideWhenUsed/>
    <w:rsid w:val="00EA740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74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807600">
      <w:bodyDiv w:val="1"/>
      <w:marLeft w:val="0"/>
      <w:marRight w:val="0"/>
      <w:marTop w:val="0"/>
      <w:marBottom w:val="0"/>
      <w:divBdr>
        <w:top w:val="none" w:sz="0" w:space="0" w:color="auto"/>
        <w:left w:val="none" w:sz="0" w:space="0" w:color="auto"/>
        <w:bottom w:val="none" w:sz="0" w:space="0" w:color="auto"/>
        <w:right w:val="none" w:sz="0" w:space="0" w:color="auto"/>
      </w:divBdr>
    </w:div>
    <w:div w:id="1634629222">
      <w:bodyDiv w:val="1"/>
      <w:marLeft w:val="0"/>
      <w:marRight w:val="0"/>
      <w:marTop w:val="0"/>
      <w:marBottom w:val="0"/>
      <w:divBdr>
        <w:top w:val="none" w:sz="0" w:space="0" w:color="auto"/>
        <w:left w:val="none" w:sz="0" w:space="0" w:color="auto"/>
        <w:bottom w:val="none" w:sz="0" w:space="0" w:color="auto"/>
        <w:right w:val="none" w:sz="0" w:space="0" w:color="auto"/>
      </w:divBdr>
    </w:div>
    <w:div w:id="19746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hyperlink" Target="https://cran.r-project.org/web/packages/mlmRev/mlmRev.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little-book-of-r-for-bayesian-statistics.readthedocs.io/en/latest/src/bayesiansta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it\AppData\Local\Packages\Microsoft.Office.Desktop_8wekyb3d8bbwe\LocalCache\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C:\Users\mahit\AppData\Local\Packages\Microsoft.Office.Desktop_8wekyb3d8bbwe\LocalCache\Roaming\Microsoft\Templates\Project communication plan.dotx</Template>
  <TotalTime>2</TotalTime>
  <Pages>6</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Mahitha Sree</dc:creator>
  <cp:keywords/>
  <cp:lastModifiedBy>Pati, Pruthvi (patipy)</cp:lastModifiedBy>
  <cp:revision>141</cp:revision>
  <dcterms:created xsi:type="dcterms:W3CDTF">2018-12-12T02:27:00Z</dcterms:created>
  <dcterms:modified xsi:type="dcterms:W3CDTF">2019-04-05T18:21:00Z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