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A46A7" w14:textId="77777777" w:rsidR="00C531F2" w:rsidRDefault="00DE1F4F" w:rsidP="00F53BE1">
      <w:pPr>
        <w:spacing w:line="360" w:lineRule="auto"/>
        <w:jc w:val="center"/>
        <w:rPr>
          <w:sz w:val="28"/>
          <w:szCs w:val="28"/>
        </w:rPr>
      </w:pPr>
      <w:r>
        <w:rPr>
          <w:rFonts w:ascii="Times New Roman" w:hAnsi="Times New Roman"/>
          <w:sz w:val="28"/>
          <w:szCs w:val="28"/>
        </w:rPr>
        <w:t>The Metaphysical Concept of Evolution</w:t>
      </w:r>
    </w:p>
    <w:p w14:paraId="7F755C84" w14:textId="77777777" w:rsidR="00C531F2" w:rsidRDefault="00C531F2" w:rsidP="00F53BE1">
      <w:pPr>
        <w:spacing w:line="360" w:lineRule="auto"/>
        <w:rPr>
          <w:rFonts w:ascii="Times New Roman" w:hAnsi="Times New Roman"/>
        </w:rPr>
      </w:pPr>
    </w:p>
    <w:p w14:paraId="546B2AB7" w14:textId="77777777" w:rsidR="00C531F2" w:rsidRDefault="00DE1F4F" w:rsidP="00F53BE1">
      <w:pPr>
        <w:spacing w:line="360" w:lineRule="auto"/>
      </w:pPr>
      <w:r>
        <w:rPr>
          <w:rFonts w:ascii="Times New Roman" w:hAnsi="Times New Roman"/>
        </w:rPr>
        <w:t xml:space="preserve">In view of the ambiguity of the term “evolution,” let us begin by distinguishing between evolution in the traditional, metaphysical understanding and the theory postulated by Charles Darwin and his followers. The term “evolution” is derived from the Latin </w:t>
      </w:r>
      <w:proofErr w:type="spellStart"/>
      <w:r>
        <w:rPr>
          <w:rFonts w:ascii="Times New Roman" w:hAnsi="Times New Roman"/>
          <w:i/>
        </w:rPr>
        <w:t>evolvere</w:t>
      </w:r>
      <w:proofErr w:type="spellEnd"/>
      <w:r>
        <w:rPr>
          <w:rFonts w:ascii="Times New Roman" w:hAnsi="Times New Roman"/>
        </w:rPr>
        <w:t>, literally, to roll out or unfold, which in this context means the development of that which is enveloped.</w:t>
      </w:r>
      <w:r>
        <w:rPr>
          <w:rStyle w:val="FootnoteAnchor"/>
          <w:rFonts w:ascii="Times New Roman" w:hAnsi="Times New Roman"/>
        </w:rPr>
        <w:footnoteReference w:id="1"/>
      </w:r>
      <w:r>
        <w:rPr>
          <w:rFonts w:ascii="Times New Roman" w:hAnsi="Times New Roman"/>
        </w:rPr>
        <w:t xml:space="preserve"> “The cosmos becomes what it is through an ‘unwinding’ or explication of What is already inside, which is ‘turned out’ or </w:t>
      </w:r>
      <w:r>
        <w:rPr>
          <w:rFonts w:ascii="Times New Roman" w:hAnsi="Times New Roman"/>
          <w:i/>
        </w:rPr>
        <w:t xml:space="preserve">evolved </w:t>
      </w:r>
      <w:r>
        <w:rPr>
          <w:rFonts w:ascii="Times New Roman" w:hAnsi="Times New Roman"/>
        </w:rPr>
        <w:t>into what</w:t>
      </w:r>
      <w:r>
        <w:rPr>
          <w:rFonts w:ascii="Times New Roman" w:hAnsi="Times New Roman"/>
        </w:rPr>
        <w:t xml:space="preserve"> It is initially not but can then be seen in.”</w:t>
      </w:r>
      <w:r>
        <w:rPr>
          <w:rStyle w:val="FootnoteAnchor"/>
          <w:rFonts w:ascii="Times New Roman" w:hAnsi="Times New Roman"/>
        </w:rPr>
        <w:footnoteReference w:id="2"/>
      </w:r>
      <w:r>
        <w:rPr>
          <w:rFonts w:ascii="Times New Roman" w:hAnsi="Times New Roman"/>
        </w:rPr>
        <w:t xml:space="preserve"> We might say that evolution is the unfolding of inherent possibilities. In Aristotelian terms, we could say that evolution entails a movement from potentiality (Greek, </w:t>
      </w:r>
      <w:proofErr w:type="spellStart"/>
      <w:r>
        <w:rPr>
          <w:rFonts w:ascii="Times New Roman" w:hAnsi="Times New Roman"/>
          <w:i/>
        </w:rPr>
        <w:t>dynamis</w:t>
      </w:r>
      <w:proofErr w:type="spellEnd"/>
      <w:r>
        <w:rPr>
          <w:rFonts w:ascii="Times New Roman" w:hAnsi="Times New Roman"/>
        </w:rPr>
        <w:t xml:space="preserve">) to actuality (Greek, </w:t>
      </w:r>
      <w:r>
        <w:rPr>
          <w:rFonts w:ascii="Times New Roman" w:hAnsi="Times New Roman"/>
          <w:i/>
        </w:rPr>
        <w:t>energeia</w:t>
      </w:r>
      <w:r>
        <w:rPr>
          <w:rFonts w:ascii="Times New Roman" w:hAnsi="Times New Roman"/>
        </w:rPr>
        <w:t>)</w:t>
      </w:r>
      <w:r>
        <w:rPr>
          <w:rFonts w:ascii="Times New Roman" w:hAnsi="Times New Roman"/>
        </w:rPr>
        <w:t xml:space="preserve">. Since this unfolding involves an acquisition of form for a specific end or purpose, a </w:t>
      </w:r>
      <w:r>
        <w:rPr>
          <w:rFonts w:ascii="Times New Roman" w:hAnsi="Times New Roman"/>
          <w:i/>
        </w:rPr>
        <w:t>telos</w:t>
      </w:r>
      <w:r>
        <w:rPr>
          <w:rFonts w:ascii="Times New Roman" w:hAnsi="Times New Roman"/>
        </w:rPr>
        <w:t xml:space="preserve">, where intelligible form, </w:t>
      </w:r>
      <w:r>
        <w:rPr>
          <w:rFonts w:ascii="Times New Roman" w:hAnsi="Times New Roman"/>
          <w:i/>
        </w:rPr>
        <w:t>eidos</w:t>
      </w:r>
      <w:r>
        <w:rPr>
          <w:rFonts w:ascii="Times New Roman" w:hAnsi="Times New Roman"/>
        </w:rPr>
        <w:t xml:space="preserve">, serves as the model or template for sensible form, </w:t>
      </w:r>
      <w:proofErr w:type="spellStart"/>
      <w:r>
        <w:rPr>
          <w:rFonts w:ascii="Times New Roman" w:hAnsi="Times New Roman"/>
          <w:i/>
        </w:rPr>
        <w:t>morph</w:t>
      </w:r>
      <w:r>
        <w:rPr>
          <w:rFonts w:ascii="Times New Roman" w:hAnsi="Times New Roman"/>
          <w:i/>
        </w:rPr>
        <w:t>ē</w:t>
      </w:r>
      <w:proofErr w:type="spellEnd"/>
      <w:r>
        <w:rPr>
          <w:rFonts w:ascii="Times New Roman" w:hAnsi="Times New Roman"/>
        </w:rPr>
        <w:t>, an authentic theory of evolution must include both formal and final ca</w:t>
      </w:r>
      <w:r>
        <w:rPr>
          <w:rFonts w:ascii="Times New Roman" w:hAnsi="Times New Roman"/>
        </w:rPr>
        <w:t>usality.</w:t>
      </w:r>
    </w:p>
    <w:p w14:paraId="2E528493" w14:textId="77777777" w:rsidR="00C531F2" w:rsidRDefault="00C531F2" w:rsidP="00F53BE1">
      <w:pPr>
        <w:spacing w:line="360" w:lineRule="auto"/>
        <w:rPr>
          <w:rFonts w:ascii="Times New Roman" w:hAnsi="Times New Roman"/>
        </w:rPr>
      </w:pPr>
    </w:p>
    <w:p w14:paraId="2EB4C9EE" w14:textId="77777777" w:rsidR="00C531F2" w:rsidRDefault="00DE1F4F" w:rsidP="00F53BE1">
      <w:pPr>
        <w:spacing w:line="360" w:lineRule="auto"/>
      </w:pPr>
      <w:r>
        <w:rPr>
          <w:rFonts w:ascii="Times New Roman" w:hAnsi="Times New Roman"/>
        </w:rPr>
        <w:t>This, however, goes against the modern biological understanding of evolution as “the genetic transformation of populations through time, as a result of genetic variation and subsequent environmental impact on the rates of reproductive success,”</w:t>
      </w:r>
      <w:r>
        <w:rPr>
          <w:rStyle w:val="FootnoteAnchor"/>
          <w:rFonts w:ascii="Times New Roman" w:hAnsi="Times New Roman"/>
        </w:rPr>
        <w:footnoteReference w:id="3"/>
      </w:r>
      <w:r>
        <w:rPr>
          <w:rFonts w:ascii="Times New Roman" w:hAnsi="Times New Roman"/>
        </w:rPr>
        <w:t xml:space="preserve"> which recognizes only material and mechanical factors as causes of biodiversity. However, in the words of the medieval scholar Richard the Englishman, “Nothing can be produced from a thing that is not contained in it; by this fact, every species, every ge</w:t>
      </w:r>
      <w:r>
        <w:rPr>
          <w:rFonts w:ascii="Times New Roman" w:hAnsi="Times New Roman"/>
        </w:rPr>
        <w:t>nus or every natural order develops within the proper limits to it and bears fruits according to its own kind and not according to an essentially different order.”</w:t>
      </w:r>
      <w:r>
        <w:rPr>
          <w:rStyle w:val="FootnoteAnchor"/>
          <w:rFonts w:ascii="Times New Roman" w:hAnsi="Times New Roman"/>
        </w:rPr>
        <w:footnoteReference w:id="4"/>
      </w:r>
      <w:r>
        <w:rPr>
          <w:rFonts w:ascii="Times New Roman" w:hAnsi="Times New Roman"/>
        </w:rPr>
        <w:t xml:space="preserve"> That is to say, lifeforms unfold according to pre-determined inner possibilities, although</w:t>
      </w:r>
      <w:r>
        <w:rPr>
          <w:rFonts w:ascii="Times New Roman" w:hAnsi="Times New Roman"/>
        </w:rPr>
        <w:t xml:space="preserve"> external factors do play a secondary role, as, for instance, in the geographical distribution of a species.</w:t>
      </w:r>
    </w:p>
    <w:p w14:paraId="68B370B9" w14:textId="77777777" w:rsidR="00C531F2" w:rsidRDefault="00C531F2" w:rsidP="00F53BE1">
      <w:pPr>
        <w:spacing w:line="360" w:lineRule="auto"/>
        <w:rPr>
          <w:rFonts w:ascii="Times New Roman" w:hAnsi="Times New Roman"/>
        </w:rPr>
      </w:pPr>
    </w:p>
    <w:p w14:paraId="46F84B10" w14:textId="2071B472" w:rsidR="00C531F2" w:rsidRDefault="00DE1F4F" w:rsidP="00F53BE1">
      <w:pPr>
        <w:spacing w:line="360" w:lineRule="auto"/>
      </w:pPr>
      <w:r>
        <w:rPr>
          <w:rFonts w:ascii="Times New Roman" w:hAnsi="Times New Roman"/>
        </w:rPr>
        <w:t>It is popularly held that the idea of evolution results from a modern scientific outlook and effectively replaces previously held theological doct</w:t>
      </w:r>
      <w:r>
        <w:rPr>
          <w:rFonts w:ascii="Times New Roman" w:hAnsi="Times New Roman"/>
        </w:rPr>
        <w:t xml:space="preserve">rines on Divine creation, but in </w:t>
      </w:r>
      <w:r w:rsidR="00391C31">
        <w:rPr>
          <w:rFonts w:ascii="Times New Roman" w:hAnsi="Times New Roman"/>
        </w:rPr>
        <w:t>reality,</w:t>
      </w:r>
      <w:r>
        <w:rPr>
          <w:rFonts w:ascii="Times New Roman" w:hAnsi="Times New Roman"/>
        </w:rPr>
        <w:t xml:space="preserve"> its origin lies in metaphysics and is grounded in an understanding of reality as a great Chain of Being reaching from God down to inanimate matter. However, “the evolutionary chain of living organisms in post-Darwin</w:t>
      </w:r>
      <w:r>
        <w:rPr>
          <w:rFonts w:ascii="Times New Roman" w:hAnsi="Times New Roman"/>
        </w:rPr>
        <w:t xml:space="preserve">ian biology is none other than the secularized and temporalized version of the </w:t>
      </w:r>
      <w:r>
        <w:rPr>
          <w:rFonts w:ascii="Times New Roman" w:hAnsi="Times New Roman"/>
        </w:rPr>
        <w:lastRenderedPageBreak/>
        <w:t>traditional metaphysical doctrine of gradation or the ‘great chain of being’ of the western tradition.”</w:t>
      </w:r>
      <w:r>
        <w:rPr>
          <w:rStyle w:val="FootnoteAnchor"/>
          <w:rFonts w:ascii="Times New Roman" w:hAnsi="Times New Roman"/>
        </w:rPr>
        <w:footnoteReference w:id="5"/>
      </w:r>
    </w:p>
    <w:p w14:paraId="3E648732" w14:textId="77777777" w:rsidR="00C531F2" w:rsidRDefault="00C531F2" w:rsidP="00F53BE1">
      <w:pPr>
        <w:spacing w:line="360" w:lineRule="auto"/>
        <w:rPr>
          <w:rFonts w:ascii="Times New Roman" w:hAnsi="Times New Roman"/>
        </w:rPr>
      </w:pPr>
    </w:p>
    <w:p w14:paraId="31A34F99" w14:textId="77777777" w:rsidR="00C531F2" w:rsidRDefault="00DE1F4F" w:rsidP="00F53BE1">
      <w:pPr>
        <w:spacing w:line="360" w:lineRule="auto"/>
      </w:pPr>
      <w:r>
        <w:rPr>
          <w:rFonts w:ascii="Times New Roman" w:hAnsi="Times New Roman"/>
        </w:rPr>
        <w:t xml:space="preserve">In his essay </w:t>
      </w:r>
      <w:r>
        <w:rPr>
          <w:rFonts w:ascii="Times New Roman" w:hAnsi="Times New Roman"/>
          <w:i/>
        </w:rPr>
        <w:t>Gradation and Evolution</w:t>
      </w:r>
      <w:r>
        <w:rPr>
          <w:rFonts w:ascii="Times New Roman" w:hAnsi="Times New Roman"/>
        </w:rPr>
        <w:t>, Traditionalist author Ananda Coo</w:t>
      </w:r>
      <w:r>
        <w:rPr>
          <w:rFonts w:ascii="Times New Roman" w:hAnsi="Times New Roman"/>
        </w:rPr>
        <w:t>maraswamy draws a similar distinction between the traditional, metaphysical doctrine of gradation and the modern, mechanistic</w:t>
      </w:r>
    </w:p>
    <w:p w14:paraId="61317087" w14:textId="77777777" w:rsidR="00C531F2" w:rsidRDefault="00DE1F4F" w:rsidP="00F53BE1">
      <w:pPr>
        <w:spacing w:line="360" w:lineRule="auto"/>
      </w:pPr>
      <w:r>
        <w:rPr>
          <w:rFonts w:ascii="Times New Roman" w:hAnsi="Times New Roman"/>
        </w:rPr>
        <w:t>theory of evolution. According to the metaphysical view, nothing in the world happens by chance—rather, what happens is always the</w:t>
      </w:r>
      <w:r>
        <w:rPr>
          <w:rFonts w:ascii="Times New Roman" w:hAnsi="Times New Roman"/>
        </w:rPr>
        <w:t xml:space="preserve"> realization of a possibility, so that all living beings are held to be</w:t>
      </w:r>
    </w:p>
    <w:p w14:paraId="40B6E3FA" w14:textId="77777777" w:rsidR="00C531F2" w:rsidRDefault="00DE1F4F" w:rsidP="00F53BE1">
      <w:pPr>
        <w:spacing w:line="360" w:lineRule="auto"/>
      </w:pPr>
      <w:r>
        <w:rPr>
          <w:rFonts w:ascii="Times New Roman" w:hAnsi="Times New Roman"/>
        </w:rPr>
        <w:t>physical manifestations of inherent possibilities.</w:t>
      </w:r>
      <w:r>
        <w:rPr>
          <w:rStyle w:val="FootnoteAnchor"/>
          <w:rFonts w:ascii="Times New Roman" w:hAnsi="Times New Roman"/>
        </w:rPr>
        <w:footnoteReference w:id="6"/>
      </w:r>
      <w:r>
        <w:rPr>
          <w:rFonts w:ascii="Times New Roman" w:hAnsi="Times New Roman"/>
        </w:rPr>
        <w:t xml:space="preserve"> In this connection, the Swiss metaphysician </w:t>
      </w:r>
      <w:proofErr w:type="spellStart"/>
      <w:r>
        <w:rPr>
          <w:rFonts w:ascii="Times New Roman" w:hAnsi="Times New Roman"/>
        </w:rPr>
        <w:t>Frithjof</w:t>
      </w:r>
      <w:proofErr w:type="spellEnd"/>
      <w:r>
        <w:rPr>
          <w:rFonts w:ascii="Times New Roman" w:hAnsi="Times New Roman"/>
        </w:rPr>
        <w:t xml:space="preserve"> </w:t>
      </w:r>
      <w:proofErr w:type="spellStart"/>
      <w:r>
        <w:rPr>
          <w:rFonts w:ascii="Times New Roman" w:hAnsi="Times New Roman"/>
        </w:rPr>
        <w:t>Schuon</w:t>
      </w:r>
      <w:proofErr w:type="spellEnd"/>
      <w:r>
        <w:rPr>
          <w:rFonts w:ascii="Times New Roman" w:hAnsi="Times New Roman"/>
        </w:rPr>
        <w:t xml:space="preserve"> compares the evolution of the cosmos, and by extension all life in it, </w:t>
      </w:r>
      <w:r>
        <w:rPr>
          <w:rFonts w:ascii="Times New Roman" w:hAnsi="Times New Roman"/>
        </w:rPr>
        <w:t>to embryonic development: “In the same way the whole cosmos can only spring from an embryonic state which contains the virtuality of all its possible deployment and simply makes manifest on the plane of contingencies an infinitely higher and transcendent p</w:t>
      </w:r>
      <w:r>
        <w:rPr>
          <w:rFonts w:ascii="Times New Roman" w:hAnsi="Times New Roman"/>
        </w:rPr>
        <w:t>rototype.”</w:t>
      </w:r>
      <w:r>
        <w:rPr>
          <w:rStyle w:val="FootnoteAnchor"/>
          <w:rFonts w:ascii="Times New Roman" w:hAnsi="Times New Roman"/>
        </w:rPr>
        <w:footnoteReference w:id="7"/>
      </w:r>
      <w:r>
        <w:rPr>
          <w:rFonts w:ascii="Times New Roman" w:hAnsi="Times New Roman"/>
        </w:rPr>
        <w:t xml:space="preserve"> Thus the traditional explanation of the origins of life and all its diversity includes a metaphysical, or vertical, dimension, which determines the physical, or horizontal.</w:t>
      </w:r>
    </w:p>
    <w:p w14:paraId="4354CE1A" w14:textId="77777777" w:rsidR="00C531F2" w:rsidRDefault="00C531F2" w:rsidP="00F53BE1">
      <w:pPr>
        <w:spacing w:line="360" w:lineRule="auto"/>
        <w:rPr>
          <w:rFonts w:ascii="Times New Roman" w:hAnsi="Times New Roman"/>
        </w:rPr>
      </w:pPr>
    </w:p>
    <w:p w14:paraId="2773A4F2" w14:textId="77777777" w:rsidR="00C531F2" w:rsidRDefault="00DE1F4F" w:rsidP="00F53BE1">
      <w:pPr>
        <w:spacing w:line="360" w:lineRule="auto"/>
      </w:pPr>
      <w:r>
        <w:rPr>
          <w:rFonts w:ascii="Times New Roman" w:hAnsi="Times New Roman"/>
        </w:rPr>
        <w:t>What causes the movement from possibility to manifestation in the org</w:t>
      </w:r>
      <w:r>
        <w:rPr>
          <w:rFonts w:ascii="Times New Roman" w:hAnsi="Times New Roman"/>
        </w:rPr>
        <w:t xml:space="preserve">anic realm? Coomaraswamy holds that there are two orders of causes: the First Cause, in which all possibilities </w:t>
      </w:r>
      <w:proofErr w:type="spellStart"/>
      <w:r>
        <w:rPr>
          <w:rFonts w:ascii="Times New Roman" w:hAnsi="Times New Roman"/>
        </w:rPr>
        <w:t>inhere</w:t>
      </w:r>
      <w:proofErr w:type="spellEnd"/>
      <w:r>
        <w:rPr>
          <w:rFonts w:ascii="Times New Roman" w:hAnsi="Times New Roman"/>
        </w:rPr>
        <w:t>, and mediate causes, which provide the conditions in which the possible becomes the necessary. The First Cause is the direct cause of the</w:t>
      </w:r>
      <w:r>
        <w:rPr>
          <w:rFonts w:ascii="Times New Roman" w:hAnsi="Times New Roman"/>
        </w:rPr>
        <w:t xml:space="preserve"> </w:t>
      </w:r>
      <w:r>
        <w:rPr>
          <w:rFonts w:ascii="Times New Roman" w:hAnsi="Times New Roman"/>
          <w:i/>
        </w:rPr>
        <w:t xml:space="preserve">being </w:t>
      </w:r>
      <w:r>
        <w:rPr>
          <w:rFonts w:ascii="Times New Roman" w:hAnsi="Times New Roman"/>
        </w:rPr>
        <w:t xml:space="preserve">of things, but not of their </w:t>
      </w:r>
      <w:r>
        <w:rPr>
          <w:rFonts w:ascii="Times New Roman" w:hAnsi="Times New Roman"/>
          <w:i/>
        </w:rPr>
        <w:t>manner of being</w:t>
      </w:r>
      <w:r>
        <w:rPr>
          <w:rFonts w:ascii="Times New Roman" w:hAnsi="Times New Roman"/>
        </w:rPr>
        <w:t>. The latter is determined by mediate causes that produce a given species or individual at a given time and place. When the mediate causes converge to establish the spatial and temporal environment for a gi</w:t>
      </w:r>
      <w:r>
        <w:rPr>
          <w:rFonts w:ascii="Times New Roman" w:hAnsi="Times New Roman"/>
        </w:rPr>
        <w:t>ven possibility to be actualized, the corresponding form emerges. This implies, for example, that mammals could not have appeared before the operation of natural causes had prepared the Earth for mammalian life. An evolutionist could validly offer an expla</w:t>
      </w:r>
      <w:r>
        <w:rPr>
          <w:rFonts w:ascii="Times New Roman" w:hAnsi="Times New Roman"/>
        </w:rPr>
        <w:t>nation that employs mediate causes, while omitting the First Cause, because he or she is dealing with biodiversity and not with the origin of life as such.</w:t>
      </w:r>
      <w:r>
        <w:rPr>
          <w:rStyle w:val="FootnoteAnchor"/>
          <w:rFonts w:ascii="Times New Roman" w:hAnsi="Times New Roman"/>
        </w:rPr>
        <w:footnoteReference w:id="8"/>
      </w:r>
    </w:p>
    <w:p w14:paraId="1A8BA82A" w14:textId="77777777" w:rsidR="00C531F2" w:rsidRDefault="00C531F2" w:rsidP="00F53BE1">
      <w:pPr>
        <w:spacing w:line="360" w:lineRule="auto"/>
        <w:rPr>
          <w:rFonts w:ascii="Times New Roman" w:hAnsi="Times New Roman"/>
        </w:rPr>
      </w:pPr>
    </w:p>
    <w:p w14:paraId="7ABF1B56" w14:textId="77777777" w:rsidR="00C531F2" w:rsidRDefault="00DE1F4F" w:rsidP="00F53BE1">
      <w:pPr>
        <w:spacing w:line="360" w:lineRule="auto"/>
      </w:pPr>
      <w:r>
        <w:rPr>
          <w:rFonts w:ascii="Times New Roman" w:hAnsi="Times New Roman"/>
        </w:rPr>
        <w:t>The metaphysical distinction between the First Cause and mediate causes is compatible with the th</w:t>
      </w:r>
      <w:r>
        <w:rPr>
          <w:rFonts w:ascii="Times New Roman" w:hAnsi="Times New Roman"/>
        </w:rPr>
        <w:t xml:space="preserve">eological doctrine of Divine creation, God being the First Cause containing all possibilities, </w:t>
      </w:r>
      <w:proofErr w:type="gramStart"/>
      <w:r>
        <w:rPr>
          <w:rFonts w:ascii="Times New Roman" w:hAnsi="Times New Roman"/>
        </w:rPr>
        <w:t>Who</w:t>
      </w:r>
      <w:proofErr w:type="gramEnd"/>
      <w:r>
        <w:rPr>
          <w:rFonts w:ascii="Times New Roman" w:hAnsi="Times New Roman"/>
        </w:rPr>
        <w:t xml:space="preserve"> creates “indirectly” by means of mediate causes. This theistic understanding of evolution envisions an “evolving creation,” as argued by the physicist Howard</w:t>
      </w:r>
      <w:r>
        <w:rPr>
          <w:rFonts w:ascii="Times New Roman" w:hAnsi="Times New Roman"/>
        </w:rPr>
        <w:t xml:space="preserve"> van Till, building on insights obtained </w:t>
      </w:r>
      <w:r>
        <w:rPr>
          <w:rFonts w:ascii="Times New Roman" w:hAnsi="Times New Roman"/>
        </w:rPr>
        <w:lastRenderedPageBreak/>
        <w:t>from the Patristic theologians Basil of Caesarea and Augustine of Hippo. Van Till writes that the created order “was gifted from the outset with the potentialities for assuming a rich diversity of physical and bioti</w:t>
      </w:r>
      <w:r>
        <w:rPr>
          <w:rFonts w:ascii="Times New Roman" w:hAnsi="Times New Roman"/>
        </w:rPr>
        <w:t>c forms, and with the requisite form-producing capacities for actualizing many of these potentialities in the course of time,” enabling “the unbroken continuity of natural development of the sort envisioned by contemporary cosmology and evolutionary biolog</w:t>
      </w:r>
      <w:r>
        <w:rPr>
          <w:rFonts w:ascii="Times New Roman" w:hAnsi="Times New Roman"/>
        </w:rPr>
        <w:t>y.”</w:t>
      </w:r>
      <w:r>
        <w:rPr>
          <w:rStyle w:val="FootnoteAnchor"/>
          <w:rFonts w:ascii="Times New Roman" w:hAnsi="Times New Roman"/>
        </w:rPr>
        <w:footnoteReference w:id="9"/>
      </w:r>
      <w:r>
        <w:rPr>
          <w:rFonts w:ascii="Times New Roman" w:hAnsi="Times New Roman"/>
        </w:rPr>
        <w:t xml:space="preserve"> There is no intellectual requirement to posit an incompatibility between theology and biology in the formulation of an evolutionary theory.</w:t>
      </w:r>
    </w:p>
    <w:p w14:paraId="1088A868" w14:textId="77777777" w:rsidR="00C531F2" w:rsidRDefault="00C531F2" w:rsidP="00F53BE1">
      <w:pPr>
        <w:spacing w:line="360" w:lineRule="auto"/>
        <w:rPr>
          <w:rFonts w:ascii="Times New Roman" w:hAnsi="Times New Roman"/>
        </w:rPr>
      </w:pPr>
    </w:p>
    <w:p w14:paraId="65B1627D" w14:textId="77777777" w:rsidR="00C531F2" w:rsidRDefault="00DE1F4F" w:rsidP="00F53BE1">
      <w:pPr>
        <w:spacing w:line="360" w:lineRule="auto"/>
      </w:pPr>
      <w:r>
        <w:rPr>
          <w:rFonts w:ascii="Times New Roman" w:hAnsi="Times New Roman"/>
        </w:rPr>
        <w:t xml:space="preserve">In the Patristic understanding, the distinction between ultimate and secondary causes applies also to living </w:t>
      </w:r>
      <w:r>
        <w:rPr>
          <w:rFonts w:ascii="Times New Roman" w:hAnsi="Times New Roman"/>
        </w:rPr>
        <w:t>beings, and thus “living creatures can originate in two ways: through a primary or ‘vertical’</w:t>
      </w:r>
    </w:p>
    <w:p w14:paraId="611C44E7" w14:textId="77777777" w:rsidR="00C531F2" w:rsidRDefault="00DE1F4F" w:rsidP="00F53BE1">
      <w:pPr>
        <w:spacing w:line="360" w:lineRule="auto"/>
      </w:pPr>
      <w:r>
        <w:rPr>
          <w:rFonts w:ascii="Times New Roman" w:hAnsi="Times New Roman"/>
        </w:rPr>
        <w:t xml:space="preserve">mode of generation, which does not involve seed [i.e., procreation] as an intermediate cause; and through a secondary or ‘horizontal’ mode, that is to say, by </w:t>
      </w:r>
      <w:r>
        <w:rPr>
          <w:rFonts w:ascii="Times New Roman" w:hAnsi="Times New Roman"/>
        </w:rPr>
        <w:t xml:space="preserve">means of a natural process. But at the same </w:t>
      </w:r>
      <w:proofErr w:type="gramStart"/>
      <w:r>
        <w:rPr>
          <w:rFonts w:ascii="Times New Roman" w:hAnsi="Times New Roman"/>
        </w:rPr>
        <w:t>time</w:t>
      </w:r>
      <w:proofErr w:type="gramEnd"/>
      <w:r>
        <w:rPr>
          <w:rFonts w:ascii="Times New Roman" w:hAnsi="Times New Roman"/>
        </w:rPr>
        <w:t xml:space="preserve"> we must not forget that the natural process, no less than the primary generation, derives its entire efficacy from the power of God.”</w:t>
      </w:r>
      <w:r>
        <w:rPr>
          <w:rStyle w:val="FootnoteAnchor"/>
          <w:rFonts w:ascii="Times New Roman" w:hAnsi="Times New Roman"/>
        </w:rPr>
        <w:footnoteReference w:id="10"/>
      </w:r>
      <w:r>
        <w:rPr>
          <w:rFonts w:ascii="Times New Roman" w:hAnsi="Times New Roman"/>
        </w:rPr>
        <w:t xml:space="preserve"> The distinction between these modes of generation belongs to the realm </w:t>
      </w:r>
      <w:r>
        <w:rPr>
          <w:rFonts w:ascii="Times New Roman" w:hAnsi="Times New Roman"/>
        </w:rPr>
        <w:t xml:space="preserve">of manifestation, but the ultimate cause, God, remains the same. </w:t>
      </w:r>
    </w:p>
    <w:p w14:paraId="148C368D" w14:textId="77777777" w:rsidR="00C531F2" w:rsidRDefault="00C531F2" w:rsidP="00F53BE1">
      <w:pPr>
        <w:spacing w:line="360" w:lineRule="auto"/>
        <w:rPr>
          <w:rFonts w:ascii="Times New Roman" w:hAnsi="Times New Roman"/>
        </w:rPr>
      </w:pPr>
    </w:p>
    <w:p w14:paraId="62157086" w14:textId="77777777" w:rsidR="00C531F2" w:rsidRDefault="00DE1F4F" w:rsidP="00F53BE1">
      <w:pPr>
        <w:spacing w:line="360" w:lineRule="auto"/>
      </w:pPr>
      <w:r>
        <w:rPr>
          <w:rFonts w:ascii="Times New Roman" w:hAnsi="Times New Roman"/>
        </w:rPr>
        <w:t xml:space="preserve">Thomas Aquinas relates the distinction between the First Cause and mediate causes to the universal and the particular orders. The universal order depends on the First Cause of </w:t>
      </w:r>
      <w:r>
        <w:rPr>
          <w:rFonts w:ascii="Times New Roman" w:hAnsi="Times New Roman"/>
        </w:rPr>
        <w:t>everything and thus embraces everything. In contrast, the particular orders depend on created causes and extend to whatever is subordinate to these causes. He writes, “Necessarily then all these particular orders are</w:t>
      </w:r>
    </w:p>
    <w:p w14:paraId="6B8AB273" w14:textId="77777777" w:rsidR="00C531F2" w:rsidRDefault="00DE1F4F" w:rsidP="00F53BE1">
      <w:pPr>
        <w:spacing w:line="360" w:lineRule="auto"/>
      </w:pPr>
      <w:r>
        <w:rPr>
          <w:rFonts w:ascii="Times New Roman" w:hAnsi="Times New Roman"/>
        </w:rPr>
        <w:t>subordinate to the one universal order,</w:t>
      </w:r>
      <w:r>
        <w:rPr>
          <w:rFonts w:ascii="Times New Roman" w:hAnsi="Times New Roman"/>
        </w:rPr>
        <w:t xml:space="preserve"> descendants of that order of things which results in them because of their dependence on the first of causes” (</w:t>
      </w:r>
      <w:r>
        <w:rPr>
          <w:rFonts w:ascii="Times New Roman" w:hAnsi="Times New Roman"/>
          <w:i/>
        </w:rPr>
        <w:t>Summa contra Gentiles</w:t>
      </w:r>
      <w:r>
        <w:rPr>
          <w:rFonts w:ascii="Times New Roman" w:hAnsi="Times New Roman"/>
        </w:rPr>
        <w:t>, 3. 97–98).</w:t>
      </w:r>
      <w:r>
        <w:rPr>
          <w:rStyle w:val="FootnoteAnchor"/>
          <w:rFonts w:ascii="Times New Roman" w:hAnsi="Times New Roman"/>
        </w:rPr>
        <w:footnoteReference w:id="11"/>
      </w:r>
    </w:p>
    <w:p w14:paraId="42ECC396" w14:textId="77777777" w:rsidR="00C531F2" w:rsidRDefault="00C531F2" w:rsidP="00F53BE1">
      <w:pPr>
        <w:spacing w:line="360" w:lineRule="auto"/>
        <w:rPr>
          <w:rFonts w:ascii="Times New Roman" w:hAnsi="Times New Roman"/>
        </w:rPr>
      </w:pPr>
    </w:p>
    <w:p w14:paraId="10183B38" w14:textId="77777777" w:rsidR="00C531F2" w:rsidRDefault="00DE1F4F" w:rsidP="00F53BE1">
      <w:pPr>
        <w:spacing w:line="360" w:lineRule="auto"/>
      </w:pPr>
      <w:r>
        <w:rPr>
          <w:rFonts w:ascii="Times New Roman" w:hAnsi="Times New Roman"/>
        </w:rPr>
        <w:t>However, the distinction between the First Cause and mediate causes should not be conceived as a separation</w:t>
      </w:r>
      <w:r>
        <w:rPr>
          <w:rFonts w:ascii="Times New Roman" w:hAnsi="Times New Roman"/>
        </w:rPr>
        <w:t xml:space="preserve"> of the physical from the metaphysical. As </w:t>
      </w:r>
      <w:proofErr w:type="spellStart"/>
      <w:r>
        <w:rPr>
          <w:rFonts w:ascii="Times New Roman" w:hAnsi="Times New Roman"/>
        </w:rPr>
        <w:t>Schuon</w:t>
      </w:r>
      <w:proofErr w:type="spellEnd"/>
      <w:r>
        <w:rPr>
          <w:rFonts w:ascii="Times New Roman" w:hAnsi="Times New Roman"/>
        </w:rPr>
        <w:t xml:space="preserve"> emphasizes, “Even within the order of physical causes, one has to take into account the simultaneous presence of the immanent metaphysical Cause: if a seed is the immediate cause of a plant, it is because t</w:t>
      </w:r>
      <w:r>
        <w:rPr>
          <w:rFonts w:ascii="Times New Roman" w:hAnsi="Times New Roman"/>
        </w:rPr>
        <w:t>he divine archetype intervenes in the physical causality.”</w:t>
      </w:r>
      <w:r>
        <w:rPr>
          <w:rStyle w:val="FootnoteAnchor"/>
          <w:rFonts w:ascii="Times New Roman" w:hAnsi="Times New Roman"/>
        </w:rPr>
        <w:footnoteReference w:id="12"/>
      </w:r>
      <w:r>
        <w:rPr>
          <w:rFonts w:ascii="Times New Roman" w:hAnsi="Times New Roman"/>
        </w:rPr>
        <w:t xml:space="preserve"> This coherence between the metaphysical and the physical is attributable to their common foundation, both realms having their source in God.</w:t>
      </w:r>
    </w:p>
    <w:p w14:paraId="0CA49223" w14:textId="77777777" w:rsidR="00C531F2" w:rsidRDefault="00C531F2" w:rsidP="00F53BE1">
      <w:pPr>
        <w:spacing w:line="360" w:lineRule="auto"/>
        <w:rPr>
          <w:rFonts w:ascii="Times New Roman" w:hAnsi="Times New Roman"/>
        </w:rPr>
      </w:pPr>
    </w:p>
    <w:p w14:paraId="2087046F" w14:textId="77777777" w:rsidR="00C531F2" w:rsidRDefault="00DE1F4F" w:rsidP="00F53BE1">
      <w:pPr>
        <w:spacing w:line="360" w:lineRule="auto"/>
      </w:pPr>
      <w:r>
        <w:rPr>
          <w:rFonts w:ascii="Times New Roman" w:hAnsi="Times New Roman"/>
        </w:rPr>
        <w:t xml:space="preserve">The notion of indirect/secondary yet creative causes </w:t>
      </w:r>
      <w:r>
        <w:rPr>
          <w:rFonts w:ascii="Times New Roman" w:hAnsi="Times New Roman"/>
        </w:rPr>
        <w:t xml:space="preserve">also </w:t>
      </w:r>
      <w:proofErr w:type="gramStart"/>
      <w:r>
        <w:rPr>
          <w:rFonts w:ascii="Times New Roman" w:hAnsi="Times New Roman"/>
        </w:rPr>
        <w:t>pertains</w:t>
      </w:r>
      <w:proofErr w:type="gramEnd"/>
      <w:r>
        <w:rPr>
          <w:rFonts w:ascii="Times New Roman" w:hAnsi="Times New Roman"/>
        </w:rPr>
        <w:t xml:space="preserve"> to the concept of natural laws underlying the coming-to-be of the world and of living beings. The Victorian publisher and amateur scientist, Robert Chambers, held that the formation of the solar system and the Earth, as well as the emergence </w:t>
      </w:r>
      <w:r>
        <w:rPr>
          <w:rFonts w:ascii="Times New Roman" w:hAnsi="Times New Roman"/>
        </w:rPr>
        <w:t>of life on Earth, are due to the operation of natural laws which are analogous to gravitation in the physical world. These natural laws are established by God, and therefore the formative processes are the work of God acting through secondary causes.</w:t>
      </w:r>
      <w:r>
        <w:rPr>
          <w:rStyle w:val="FootnoteAnchor"/>
          <w:rFonts w:ascii="Times New Roman" w:hAnsi="Times New Roman"/>
        </w:rPr>
        <w:footnoteReference w:id="13"/>
      </w:r>
    </w:p>
    <w:p w14:paraId="76C1E73E" w14:textId="77777777" w:rsidR="00C531F2" w:rsidRDefault="00C531F2" w:rsidP="00F53BE1">
      <w:pPr>
        <w:spacing w:line="360" w:lineRule="auto"/>
        <w:rPr>
          <w:rFonts w:ascii="Times New Roman" w:hAnsi="Times New Roman"/>
        </w:rPr>
      </w:pPr>
    </w:p>
    <w:p w14:paraId="07D13C53" w14:textId="77777777" w:rsidR="00C531F2" w:rsidRDefault="00DE1F4F" w:rsidP="00F53BE1">
      <w:pPr>
        <w:spacing w:line="360" w:lineRule="auto"/>
      </w:pPr>
      <w:r>
        <w:rPr>
          <w:rFonts w:ascii="Times New Roman" w:hAnsi="Times New Roman"/>
        </w:rPr>
        <w:t>In</w:t>
      </w:r>
      <w:r>
        <w:rPr>
          <w:rFonts w:ascii="Times New Roman" w:hAnsi="Times New Roman"/>
        </w:rPr>
        <w:t xml:space="preserve"> the twentieth century, Christian physicist Howard van </w:t>
      </w:r>
      <w:proofErr w:type="gramStart"/>
      <w:r>
        <w:rPr>
          <w:rFonts w:ascii="Times New Roman" w:hAnsi="Times New Roman"/>
        </w:rPr>
        <w:t>Till</w:t>
      </w:r>
      <w:proofErr w:type="gramEnd"/>
      <w:r>
        <w:rPr>
          <w:rFonts w:ascii="Times New Roman" w:hAnsi="Times New Roman"/>
        </w:rPr>
        <w:t xml:space="preserve"> argues along similar lines with his doctrine of “Creation’s functional integrity,” which sees creation as “gifted by God from the outset with all of the form-producing capacities necessary for the</w:t>
      </w:r>
      <w:r>
        <w:rPr>
          <w:rFonts w:ascii="Times New Roman" w:hAnsi="Times New Roman"/>
        </w:rPr>
        <w:t xml:space="preserve"> actualization of the multitude of physical</w:t>
      </w:r>
    </w:p>
    <w:p w14:paraId="0103E6F1" w14:textId="77777777" w:rsidR="00C531F2" w:rsidRDefault="00DE1F4F" w:rsidP="00F53BE1">
      <w:pPr>
        <w:spacing w:line="360" w:lineRule="auto"/>
      </w:pPr>
      <w:r>
        <w:rPr>
          <w:rFonts w:ascii="Times New Roman" w:hAnsi="Times New Roman"/>
        </w:rPr>
        <w:t>structures and life forms that have appeared in the course of Creation’s formative history, and a world whose formational fecundity can be understood only as a manifestation of the Creator’s continuous blessing f</w:t>
      </w:r>
      <w:r>
        <w:rPr>
          <w:rFonts w:ascii="Times New Roman" w:hAnsi="Times New Roman"/>
        </w:rPr>
        <w:t>or fruitfulness.”</w:t>
      </w:r>
      <w:r>
        <w:rPr>
          <w:rStyle w:val="FootnoteAnchor"/>
          <w:rFonts w:ascii="Times New Roman" w:hAnsi="Times New Roman"/>
        </w:rPr>
        <w:footnoteReference w:id="14"/>
      </w:r>
      <w:r>
        <w:rPr>
          <w:rFonts w:ascii="Times New Roman" w:hAnsi="Times New Roman"/>
        </w:rPr>
        <w:t xml:space="preserve"> These capacities are “sufficiently robust so as not to require additional acts of special creation in time.”</w:t>
      </w:r>
      <w:r>
        <w:rPr>
          <w:rStyle w:val="FootnoteAnchor"/>
          <w:rFonts w:ascii="Times New Roman" w:hAnsi="Times New Roman"/>
        </w:rPr>
        <w:footnoteReference w:id="15"/>
      </w:r>
    </w:p>
    <w:p w14:paraId="0DBF542A" w14:textId="77777777" w:rsidR="00C531F2" w:rsidRDefault="00C531F2" w:rsidP="00F53BE1">
      <w:pPr>
        <w:spacing w:line="360" w:lineRule="auto"/>
        <w:rPr>
          <w:rFonts w:ascii="Times New Roman" w:hAnsi="Times New Roman"/>
        </w:rPr>
      </w:pPr>
    </w:p>
    <w:p w14:paraId="000C93F9" w14:textId="77777777" w:rsidR="00C531F2" w:rsidRDefault="00DE1F4F" w:rsidP="00F53BE1">
      <w:pPr>
        <w:spacing w:line="360" w:lineRule="auto"/>
      </w:pPr>
      <w:r>
        <w:rPr>
          <w:rFonts w:ascii="Times New Roman" w:hAnsi="Times New Roman"/>
        </w:rPr>
        <w:t>According to the traditional understanding of evolution, Coomaraswamy writes, every phenomenon represents one of the possibi</w:t>
      </w:r>
      <w:r>
        <w:rPr>
          <w:rFonts w:ascii="Times New Roman" w:hAnsi="Times New Roman"/>
        </w:rPr>
        <w:t>lities of manifestation of Plato’s “ever-productive nature” (</w:t>
      </w:r>
      <w:proofErr w:type="spellStart"/>
      <w:r>
        <w:rPr>
          <w:rFonts w:ascii="Times New Roman" w:hAnsi="Times New Roman"/>
          <w:i/>
        </w:rPr>
        <w:t>aeigen</w:t>
      </w:r>
      <w:r>
        <w:rPr>
          <w:rFonts w:ascii="Times New Roman" w:hAnsi="Times New Roman"/>
          <w:i/>
        </w:rPr>
        <w:t>ē</w:t>
      </w:r>
      <w:r>
        <w:rPr>
          <w:rFonts w:ascii="Times New Roman" w:hAnsi="Times New Roman"/>
          <w:i/>
        </w:rPr>
        <w:t>s</w:t>
      </w:r>
      <w:proofErr w:type="spellEnd"/>
      <w:r>
        <w:rPr>
          <w:rFonts w:ascii="Times New Roman" w:hAnsi="Times New Roman"/>
          <w:i/>
        </w:rPr>
        <w:t xml:space="preserve"> physis</w:t>
      </w:r>
      <w:r>
        <w:rPr>
          <w:rFonts w:ascii="Times New Roman" w:hAnsi="Times New Roman"/>
        </w:rPr>
        <w:t>), which is referred to variously in different traditions as God, Spirit, or Life—terms signifying the First Cause of all living beings. God endows all things with life impartially</w:t>
      </w:r>
      <w:r>
        <w:rPr>
          <w:rFonts w:ascii="Times New Roman" w:hAnsi="Times New Roman"/>
        </w:rPr>
        <w:t>, while leaving the manner of their existence to the operation of mediate causes such as the laws of heredity, with which He does not interfere.</w:t>
      </w:r>
      <w:r>
        <w:rPr>
          <w:rStyle w:val="FootnoteAnchor"/>
          <w:rFonts w:ascii="Times New Roman" w:hAnsi="Times New Roman"/>
        </w:rPr>
        <w:footnoteReference w:id="16"/>
      </w:r>
      <w:r>
        <w:rPr>
          <w:rFonts w:ascii="Times New Roman" w:hAnsi="Times New Roman"/>
        </w:rPr>
        <w:t xml:space="preserve"> Although arguing from an atheistic angle, the geologist Paul Lemoine echoes this metaphysical notion of natur</w:t>
      </w:r>
      <w:r>
        <w:rPr>
          <w:rFonts w:ascii="Times New Roman" w:hAnsi="Times New Roman"/>
        </w:rPr>
        <w:t>e’s fecundity by postulating an infinite number of living forms that may be dormant but ready to appear when their conditions of existence present themselves.</w:t>
      </w:r>
      <w:r>
        <w:rPr>
          <w:rStyle w:val="FootnoteAnchor"/>
          <w:rFonts w:ascii="Times New Roman" w:hAnsi="Times New Roman"/>
        </w:rPr>
        <w:footnoteReference w:id="17"/>
      </w:r>
    </w:p>
    <w:p w14:paraId="7D9565B9" w14:textId="77777777" w:rsidR="00C531F2" w:rsidRDefault="00C531F2" w:rsidP="00F53BE1">
      <w:pPr>
        <w:spacing w:line="360" w:lineRule="auto"/>
        <w:rPr>
          <w:rFonts w:ascii="Times New Roman" w:hAnsi="Times New Roman"/>
        </w:rPr>
      </w:pPr>
    </w:p>
    <w:p w14:paraId="676C5D7C" w14:textId="77777777" w:rsidR="00C531F2" w:rsidRDefault="00DE1F4F" w:rsidP="00F53BE1">
      <w:pPr>
        <w:spacing w:line="360" w:lineRule="auto"/>
      </w:pPr>
      <w:r>
        <w:rPr>
          <w:rFonts w:ascii="Times New Roman" w:hAnsi="Times New Roman"/>
        </w:rPr>
        <w:t>It is important to note that the metaphysical concept of evolution as the manifestation of inh</w:t>
      </w:r>
      <w:r>
        <w:rPr>
          <w:rFonts w:ascii="Times New Roman" w:hAnsi="Times New Roman"/>
        </w:rPr>
        <w:t xml:space="preserve">erent possibilities recognizes the observed variability of species, namely that the outward semblance of any genus, species, or individual at any given time or place is always changing, as Coomaraswamy </w:t>
      </w:r>
      <w:r>
        <w:rPr>
          <w:rFonts w:ascii="Times New Roman" w:hAnsi="Times New Roman"/>
        </w:rPr>
        <w:lastRenderedPageBreak/>
        <w:t>notes.</w:t>
      </w:r>
      <w:r>
        <w:rPr>
          <w:rStyle w:val="FootnoteAnchor"/>
          <w:rFonts w:ascii="Times New Roman" w:hAnsi="Times New Roman"/>
        </w:rPr>
        <w:footnoteReference w:id="18"/>
      </w:r>
      <w:r>
        <w:rPr>
          <w:rFonts w:ascii="Times New Roman" w:hAnsi="Times New Roman"/>
        </w:rPr>
        <w:t xml:space="preserve"> Plutarch reasoned in this regard that “nobody</w:t>
      </w:r>
      <w:r>
        <w:rPr>
          <w:rFonts w:ascii="Times New Roman" w:hAnsi="Times New Roman"/>
        </w:rPr>
        <w:t xml:space="preserve"> remains one, nor is one; but we become many … and if he is not the same, we cannot say that he is, but only that he is being transformed as one self comes into being from the other … and it is only of God, in whose now there is neither future nor past, no</w:t>
      </w:r>
      <w:r>
        <w:rPr>
          <w:rFonts w:ascii="Times New Roman" w:hAnsi="Times New Roman"/>
        </w:rPr>
        <w:t>r older nor younger, that we can say that He is.”</w:t>
      </w:r>
      <w:r>
        <w:rPr>
          <w:rStyle w:val="FootnoteAnchor"/>
          <w:rFonts w:ascii="Times New Roman" w:hAnsi="Times New Roman"/>
        </w:rPr>
        <w:footnoteReference w:id="19"/>
      </w:r>
      <w:r>
        <w:rPr>
          <w:rFonts w:ascii="Times New Roman" w:hAnsi="Times New Roman"/>
        </w:rPr>
        <w:t xml:space="preserve"> Therefore, as Coomaraswamy observes, all definitions of categories like genus, species, and individual are indefinite, since they refer to things that are always becoming. These are only “things” if we ig</w:t>
      </w:r>
      <w:r>
        <w:rPr>
          <w:rFonts w:ascii="Times New Roman" w:hAnsi="Times New Roman"/>
        </w:rPr>
        <w:t>nore their variation in time, which is the relatively short present. Ultimately, every form of life is composite and hence mortal—only the beginning-less Life, or God, is also endless.</w:t>
      </w:r>
      <w:r>
        <w:rPr>
          <w:rStyle w:val="FootnoteAnchor"/>
          <w:rFonts w:ascii="Times New Roman" w:hAnsi="Times New Roman"/>
        </w:rPr>
        <w:footnoteReference w:id="20"/>
      </w:r>
    </w:p>
    <w:p w14:paraId="434B43E0" w14:textId="77777777" w:rsidR="00C531F2" w:rsidRDefault="00C531F2" w:rsidP="00F53BE1">
      <w:pPr>
        <w:spacing w:line="360" w:lineRule="auto"/>
        <w:rPr>
          <w:rFonts w:ascii="Times New Roman" w:hAnsi="Times New Roman"/>
        </w:rPr>
      </w:pPr>
    </w:p>
    <w:p w14:paraId="3977BC72" w14:textId="77777777" w:rsidR="00C531F2" w:rsidRDefault="00DE1F4F" w:rsidP="00F53BE1">
      <w:pPr>
        <w:spacing w:line="360" w:lineRule="auto"/>
      </w:pPr>
      <w:r>
        <w:rPr>
          <w:rFonts w:ascii="Times New Roman" w:hAnsi="Times New Roman"/>
        </w:rPr>
        <w:t>This recognition that the world of phenomena is always subject to be</w:t>
      </w:r>
      <w:r>
        <w:rPr>
          <w:rFonts w:ascii="Times New Roman" w:hAnsi="Times New Roman"/>
        </w:rPr>
        <w:t>coming repudiates the oft-repeated claim that traditional metaphysics asserts a static world order, which in the organic realm</w:t>
      </w:r>
    </w:p>
    <w:p w14:paraId="4185339C" w14:textId="77777777" w:rsidR="00C531F2" w:rsidRDefault="00DE1F4F" w:rsidP="00F53BE1">
      <w:pPr>
        <w:spacing w:line="360" w:lineRule="auto"/>
      </w:pPr>
      <w:r>
        <w:rPr>
          <w:rFonts w:ascii="Times New Roman" w:hAnsi="Times New Roman"/>
        </w:rPr>
        <w:t>entails fixity of species. It has been suggested, for example, that for the Hellenic philosophers with their teleological world-v</w:t>
      </w:r>
      <w:r>
        <w:rPr>
          <w:rFonts w:ascii="Times New Roman" w:hAnsi="Times New Roman"/>
        </w:rPr>
        <w:t>iew, no change in species was believed to be possible, since the design of</w:t>
      </w:r>
    </w:p>
    <w:p w14:paraId="2E19CB7A" w14:textId="77777777" w:rsidR="00C531F2" w:rsidRDefault="00DE1F4F" w:rsidP="00F53BE1">
      <w:pPr>
        <w:spacing w:line="360" w:lineRule="auto"/>
      </w:pPr>
      <w:r>
        <w:rPr>
          <w:rFonts w:ascii="Times New Roman" w:hAnsi="Times New Roman"/>
        </w:rPr>
        <w:t>each species corresponds to an unchanging purpose. Consequently, no new species can arise and there are no gaps in the biosphere to fill.</w:t>
      </w:r>
      <w:r>
        <w:rPr>
          <w:rStyle w:val="FootnoteAnchor"/>
          <w:rFonts w:ascii="Times New Roman" w:hAnsi="Times New Roman"/>
        </w:rPr>
        <w:footnoteReference w:id="21"/>
      </w:r>
      <w:r>
        <w:rPr>
          <w:rFonts w:ascii="Times New Roman" w:hAnsi="Times New Roman"/>
        </w:rPr>
        <w:t xml:space="preserve"> It has also been argued that both Plato and Aristotle viewed the Form of an individual organism as more real than variations between individuals. Since the Forms are eternal and unchanging, organic phenomena such as species are also conceived as fixed ent</w:t>
      </w:r>
      <w:r>
        <w:rPr>
          <w:rFonts w:ascii="Times New Roman" w:hAnsi="Times New Roman"/>
        </w:rPr>
        <w:t>ities.</w:t>
      </w:r>
      <w:r>
        <w:rPr>
          <w:rStyle w:val="FootnoteAnchor"/>
          <w:rFonts w:ascii="Times New Roman" w:hAnsi="Times New Roman"/>
        </w:rPr>
        <w:footnoteReference w:id="22"/>
      </w:r>
      <w:r>
        <w:rPr>
          <w:rFonts w:ascii="Times New Roman" w:hAnsi="Times New Roman"/>
        </w:rPr>
        <w:t xml:space="preserve"> This essentialist perspective is also part of the doctrine of special creation, which teaches that all species of animals and plants that have ever existed were directly created by God, and that the created order requires ongoing direct acts by Go</w:t>
      </w:r>
      <w:r>
        <w:rPr>
          <w:rFonts w:ascii="Times New Roman" w:hAnsi="Times New Roman"/>
        </w:rPr>
        <w:t xml:space="preserve">d in order for new lifeforms to appear in the paleontological record. Howard van </w:t>
      </w:r>
      <w:proofErr w:type="gramStart"/>
      <w:r>
        <w:rPr>
          <w:rFonts w:ascii="Times New Roman" w:hAnsi="Times New Roman"/>
        </w:rPr>
        <w:t>Till</w:t>
      </w:r>
      <w:proofErr w:type="gramEnd"/>
      <w:r>
        <w:rPr>
          <w:rFonts w:ascii="Times New Roman" w:hAnsi="Times New Roman"/>
        </w:rPr>
        <w:t xml:space="preserve"> has rightly criticized this view as presumptuous, since by withholding certain form-producing capacities, God is held responsible for the world being developmentally inco</w:t>
      </w:r>
      <w:r>
        <w:rPr>
          <w:rFonts w:ascii="Times New Roman" w:hAnsi="Times New Roman"/>
        </w:rPr>
        <w:t>mplete.</w:t>
      </w:r>
      <w:r>
        <w:rPr>
          <w:rStyle w:val="FootnoteAnchor"/>
          <w:rFonts w:ascii="Times New Roman" w:hAnsi="Times New Roman"/>
        </w:rPr>
        <w:footnoteReference w:id="23"/>
      </w:r>
    </w:p>
    <w:p w14:paraId="2E9FDF10" w14:textId="77777777" w:rsidR="00C531F2" w:rsidRDefault="00C531F2" w:rsidP="00F53BE1">
      <w:pPr>
        <w:spacing w:line="360" w:lineRule="auto"/>
        <w:rPr>
          <w:rFonts w:ascii="Times New Roman" w:hAnsi="Times New Roman"/>
        </w:rPr>
      </w:pPr>
    </w:p>
    <w:p w14:paraId="463D3730" w14:textId="77777777" w:rsidR="00C531F2" w:rsidRDefault="00DE1F4F" w:rsidP="00F53BE1">
      <w:pPr>
        <w:spacing w:line="360" w:lineRule="auto"/>
      </w:pPr>
      <w:r>
        <w:rPr>
          <w:rFonts w:ascii="Times New Roman" w:hAnsi="Times New Roman"/>
        </w:rPr>
        <w:t>In contrast to the essentialist position, Plato teaches a dynamic view of the sensible world, depicting the realm of becoming as follows: “It comes to be and passes away, but never really is” (</w:t>
      </w:r>
      <w:r>
        <w:rPr>
          <w:rFonts w:ascii="Times New Roman" w:hAnsi="Times New Roman"/>
          <w:i/>
        </w:rPr>
        <w:t xml:space="preserve">Timaeus </w:t>
      </w:r>
      <w:r>
        <w:rPr>
          <w:rFonts w:ascii="Times New Roman" w:hAnsi="Times New Roman"/>
        </w:rPr>
        <w:t>28a); and, “What is really true, is this: th</w:t>
      </w:r>
      <w:r>
        <w:rPr>
          <w:rFonts w:ascii="Times New Roman" w:hAnsi="Times New Roman"/>
        </w:rPr>
        <w:t>e things of which we naturally say that they ‘are,’ are in process of coming to be, as the result of movement and change and blending with one another. We are wrong when we say they ‘are,’ since nothing ever is, but everything is coming to be” (</w:t>
      </w:r>
      <w:r>
        <w:rPr>
          <w:rFonts w:ascii="Times New Roman" w:hAnsi="Times New Roman"/>
          <w:i/>
        </w:rPr>
        <w:t xml:space="preserve">Theaetetus </w:t>
      </w:r>
      <w:r>
        <w:rPr>
          <w:rFonts w:ascii="Times New Roman" w:hAnsi="Times New Roman"/>
        </w:rPr>
        <w:t xml:space="preserve">152d–e). Similarly, for Aristotle all things in the terrestrial realm are subject to alternate </w:t>
      </w:r>
      <w:r>
        <w:rPr>
          <w:rFonts w:ascii="Times New Roman" w:hAnsi="Times New Roman"/>
        </w:rPr>
        <w:lastRenderedPageBreak/>
        <w:t>generation and decay, in accordance with natural laws (</w:t>
      </w:r>
      <w:r>
        <w:rPr>
          <w:rFonts w:ascii="Times New Roman" w:hAnsi="Times New Roman"/>
          <w:i/>
        </w:rPr>
        <w:t xml:space="preserve">Parts of Animals </w:t>
      </w:r>
      <w:r>
        <w:rPr>
          <w:rFonts w:ascii="Times New Roman" w:hAnsi="Times New Roman"/>
        </w:rPr>
        <w:t xml:space="preserve">644b; </w:t>
      </w:r>
      <w:r>
        <w:rPr>
          <w:rFonts w:ascii="Times New Roman" w:hAnsi="Times New Roman"/>
          <w:i/>
        </w:rPr>
        <w:t xml:space="preserve">On Generation and Corruption </w:t>
      </w:r>
      <w:r>
        <w:rPr>
          <w:rFonts w:ascii="Times New Roman" w:hAnsi="Times New Roman"/>
        </w:rPr>
        <w:t>319a). And in the cosmology of Proclus, universal natu</w:t>
      </w:r>
      <w:r>
        <w:rPr>
          <w:rFonts w:ascii="Times New Roman" w:hAnsi="Times New Roman"/>
        </w:rPr>
        <w:t>re is depicted as entailing three interlinked aspects: the eternally remaining First Principle (</w:t>
      </w:r>
      <w:proofErr w:type="spellStart"/>
      <w:r>
        <w:rPr>
          <w:rFonts w:ascii="Times New Roman" w:hAnsi="Times New Roman"/>
          <w:i/>
        </w:rPr>
        <w:t>mon</w:t>
      </w:r>
      <w:r>
        <w:rPr>
          <w:rFonts w:ascii="Times New Roman" w:hAnsi="Times New Roman"/>
          <w:i/>
        </w:rPr>
        <w:t>ē</w:t>
      </w:r>
      <w:proofErr w:type="spellEnd"/>
      <w:r>
        <w:rPr>
          <w:rFonts w:ascii="Times New Roman" w:hAnsi="Times New Roman"/>
        </w:rPr>
        <w:t>), a procession (</w:t>
      </w:r>
      <w:proofErr w:type="spellStart"/>
      <w:r>
        <w:rPr>
          <w:rFonts w:ascii="Times New Roman" w:hAnsi="Times New Roman"/>
          <w:i/>
        </w:rPr>
        <w:t>proodos</w:t>
      </w:r>
      <w:proofErr w:type="spellEnd"/>
      <w:r>
        <w:rPr>
          <w:rFonts w:ascii="Times New Roman" w:hAnsi="Times New Roman"/>
        </w:rPr>
        <w:t>) thereof through the Forms into beings, and a return (</w:t>
      </w:r>
      <w:proofErr w:type="spellStart"/>
      <w:r>
        <w:rPr>
          <w:rFonts w:ascii="Times New Roman" w:hAnsi="Times New Roman"/>
          <w:i/>
        </w:rPr>
        <w:t>epistroph</w:t>
      </w:r>
      <w:r>
        <w:rPr>
          <w:rFonts w:ascii="Times New Roman" w:hAnsi="Times New Roman"/>
          <w:i/>
        </w:rPr>
        <w:t>ē</w:t>
      </w:r>
      <w:proofErr w:type="spellEnd"/>
      <w:r>
        <w:rPr>
          <w:rFonts w:ascii="Times New Roman" w:hAnsi="Times New Roman"/>
        </w:rPr>
        <w:t>) of the beings through the Forms unto the First Principle (</w:t>
      </w:r>
      <w:r>
        <w:rPr>
          <w:rFonts w:ascii="Times New Roman" w:hAnsi="Times New Roman"/>
          <w:i/>
          <w:iCs/>
        </w:rPr>
        <w:t>Element</w:t>
      </w:r>
      <w:r>
        <w:rPr>
          <w:rFonts w:ascii="Times New Roman" w:hAnsi="Times New Roman"/>
          <w:i/>
          <w:iCs/>
        </w:rPr>
        <w:t>s of Theology</w:t>
      </w:r>
      <w:r>
        <w:rPr>
          <w:rFonts w:ascii="Times New Roman" w:hAnsi="Times New Roman"/>
        </w:rPr>
        <w:t>, Proposition 35).</w:t>
      </w:r>
      <w:r>
        <w:rPr>
          <w:rStyle w:val="FootnoteAnchor"/>
          <w:rFonts w:ascii="Times New Roman" w:hAnsi="Times New Roman"/>
        </w:rPr>
        <w:footnoteReference w:id="24"/>
      </w:r>
      <w:r>
        <w:rPr>
          <w:rFonts w:ascii="Times New Roman" w:hAnsi="Times New Roman"/>
        </w:rPr>
        <w:t xml:space="preserve"> This Neoplatonic view of procession and return is actually conceived as a single movement. For E.R. </w:t>
      </w:r>
      <w:proofErr w:type="spellStart"/>
      <w:r>
        <w:rPr>
          <w:rFonts w:ascii="Times New Roman" w:hAnsi="Times New Roman"/>
        </w:rPr>
        <w:t>Dodds</w:t>
      </w:r>
      <w:proofErr w:type="spellEnd"/>
      <w:r>
        <w:rPr>
          <w:rFonts w:ascii="Times New Roman" w:hAnsi="Times New Roman"/>
        </w:rPr>
        <w:t>, this diastole-systole is the “life of the universe.”</w:t>
      </w:r>
      <w:r>
        <w:rPr>
          <w:rStyle w:val="FootnoteAnchor"/>
          <w:rFonts w:ascii="Times New Roman" w:hAnsi="Times New Roman"/>
        </w:rPr>
        <w:footnoteReference w:id="25"/>
      </w:r>
      <w:r>
        <w:rPr>
          <w:rFonts w:ascii="Times New Roman" w:hAnsi="Times New Roman"/>
        </w:rPr>
        <w:t xml:space="preserve"> In other words, the cosmos is produced through a ceaseless i</w:t>
      </w:r>
      <w:r>
        <w:rPr>
          <w:rFonts w:ascii="Times New Roman" w:hAnsi="Times New Roman"/>
        </w:rPr>
        <w:t>nteraction between being and becoming effected by the alternating motions of procession from the One and return to It.</w:t>
      </w:r>
    </w:p>
    <w:p w14:paraId="357B0621" w14:textId="77777777" w:rsidR="00C531F2" w:rsidRDefault="00C531F2" w:rsidP="00F53BE1">
      <w:pPr>
        <w:spacing w:line="360" w:lineRule="auto"/>
        <w:rPr>
          <w:rFonts w:ascii="Times New Roman" w:hAnsi="Times New Roman"/>
        </w:rPr>
      </w:pPr>
    </w:p>
    <w:p w14:paraId="4BA6E3B9" w14:textId="45243FEC" w:rsidR="00C531F2" w:rsidRDefault="00DE1F4F" w:rsidP="00F53BE1">
      <w:pPr>
        <w:spacing w:line="360" w:lineRule="auto"/>
      </w:pPr>
      <w:r>
        <w:rPr>
          <w:rFonts w:ascii="Times New Roman" w:hAnsi="Times New Roman"/>
        </w:rPr>
        <w:t>Following Plato, Coomaraswamy writes that every visible form (</w:t>
      </w:r>
      <w:proofErr w:type="spellStart"/>
      <w:r>
        <w:rPr>
          <w:rFonts w:ascii="Times New Roman" w:hAnsi="Times New Roman"/>
          <w:i/>
        </w:rPr>
        <w:t>morph</w:t>
      </w:r>
      <w:r>
        <w:rPr>
          <w:rFonts w:ascii="Times New Roman" w:hAnsi="Times New Roman"/>
          <w:i/>
        </w:rPr>
        <w:t>ē</w:t>
      </w:r>
      <w:proofErr w:type="spellEnd"/>
      <w:r>
        <w:rPr>
          <w:rFonts w:ascii="Times New Roman" w:hAnsi="Times New Roman"/>
        </w:rPr>
        <w:t xml:space="preserve">) of species or individual reflects an archetypical possibility (or </w:t>
      </w:r>
      <w:r>
        <w:rPr>
          <w:rFonts w:ascii="Times New Roman" w:hAnsi="Times New Roman"/>
        </w:rPr>
        <w:t xml:space="preserve">Form, </w:t>
      </w:r>
      <w:r>
        <w:rPr>
          <w:rFonts w:ascii="Times New Roman" w:hAnsi="Times New Roman"/>
          <w:i/>
        </w:rPr>
        <w:t>eidos</w:t>
      </w:r>
      <w:r>
        <w:rPr>
          <w:rFonts w:ascii="Times New Roman" w:hAnsi="Times New Roman"/>
        </w:rPr>
        <w:t>). Thus</w:t>
      </w:r>
      <w:r w:rsidR="00391C31">
        <w:rPr>
          <w:rFonts w:ascii="Times New Roman" w:hAnsi="Times New Roman"/>
        </w:rPr>
        <w:t>,</w:t>
      </w:r>
      <w:r>
        <w:rPr>
          <w:rFonts w:ascii="Times New Roman" w:hAnsi="Times New Roman"/>
        </w:rPr>
        <w:t xml:space="preserve"> there is an invisible Sun, an Apollo, other than the visible sun, or Helios. This traditional doctrine is not monistic or dualistic, but is descriptive of a reality that is both one in itself and many in its manifestations. Accordingly, </w:t>
      </w:r>
      <w:r>
        <w:rPr>
          <w:rFonts w:ascii="Times New Roman" w:hAnsi="Times New Roman"/>
        </w:rPr>
        <w:t xml:space="preserve">God is conceived as </w:t>
      </w:r>
      <w:proofErr w:type="spellStart"/>
      <w:r>
        <w:rPr>
          <w:rFonts w:ascii="Times New Roman" w:hAnsi="Times New Roman"/>
        </w:rPr>
        <w:t>omniform</w:t>
      </w:r>
      <w:proofErr w:type="spellEnd"/>
      <w:r>
        <w:rPr>
          <w:rFonts w:ascii="Times New Roman" w:hAnsi="Times New Roman"/>
        </w:rPr>
        <w:t xml:space="preserve"> (</w:t>
      </w:r>
      <w:proofErr w:type="spellStart"/>
      <w:r>
        <w:rPr>
          <w:rFonts w:ascii="Times New Roman" w:hAnsi="Times New Roman"/>
          <w:i/>
        </w:rPr>
        <w:t>pantomorphos</w:t>
      </w:r>
      <w:proofErr w:type="spellEnd"/>
      <w:r>
        <w:rPr>
          <w:rFonts w:ascii="Times New Roman" w:hAnsi="Times New Roman"/>
        </w:rPr>
        <w:t>), while the vast variety of lifeforms melt into one another and cannot be precisely defined.</w:t>
      </w:r>
      <w:r>
        <w:rPr>
          <w:rStyle w:val="FootnoteAnchor"/>
          <w:rFonts w:ascii="Times New Roman" w:hAnsi="Times New Roman"/>
        </w:rPr>
        <w:footnoteReference w:id="26"/>
      </w:r>
      <w:r>
        <w:rPr>
          <w:rFonts w:ascii="Times New Roman" w:hAnsi="Times New Roman"/>
        </w:rPr>
        <w:t xml:space="preserve"> That is to say, the cosmos (including the organic realms) comprises a differentiated unity, based in the divine Princi</w:t>
      </w:r>
      <w:r>
        <w:rPr>
          <w:rFonts w:ascii="Times New Roman" w:hAnsi="Times New Roman"/>
        </w:rPr>
        <w:t>ple.</w:t>
      </w:r>
    </w:p>
    <w:p w14:paraId="5C7B11D6" w14:textId="77777777" w:rsidR="00C531F2" w:rsidRDefault="00C531F2" w:rsidP="00F53BE1">
      <w:pPr>
        <w:spacing w:line="360" w:lineRule="auto"/>
        <w:rPr>
          <w:rFonts w:ascii="Times New Roman" w:hAnsi="Times New Roman"/>
        </w:rPr>
      </w:pPr>
    </w:p>
    <w:p w14:paraId="78683294" w14:textId="67ECB11A" w:rsidR="00C531F2" w:rsidRDefault="00DE1F4F" w:rsidP="00F53BE1">
      <w:pPr>
        <w:spacing w:line="360" w:lineRule="auto"/>
      </w:pPr>
      <w:r>
        <w:rPr>
          <w:rFonts w:ascii="Times New Roman" w:hAnsi="Times New Roman"/>
        </w:rPr>
        <w:t xml:space="preserve">That the evolutionary process is none other than an “opening out” of the divine Subject into various degrees of reality is illustrated by the Traditionalist scholar James </w:t>
      </w:r>
      <w:proofErr w:type="spellStart"/>
      <w:r>
        <w:rPr>
          <w:rFonts w:ascii="Times New Roman" w:hAnsi="Times New Roman"/>
        </w:rPr>
        <w:t>Cutsinger</w:t>
      </w:r>
      <w:proofErr w:type="spellEnd"/>
      <w:r>
        <w:rPr>
          <w:rFonts w:ascii="Times New Roman" w:hAnsi="Times New Roman"/>
        </w:rPr>
        <w:t xml:space="preserve"> using the analogy of the point, here representing the infinity of God</w:t>
      </w:r>
      <w:r>
        <w:rPr>
          <w:rFonts w:ascii="Times New Roman" w:hAnsi="Times New Roman"/>
        </w:rPr>
        <w:t>, and its deployment in space. The point is deployed first from point to line, then from line to plane, and finally from plane to solid, where it is present in a uniform way throughout a particular object, for example in the crystalline structure of a diam</w:t>
      </w:r>
      <w:r>
        <w:rPr>
          <w:rFonts w:ascii="Times New Roman" w:hAnsi="Times New Roman"/>
        </w:rPr>
        <w:t>ond. In order to increase its amplitude, the point then “goes indoors,” as it were. This interiorization represents the beginning of organic life as it unfolds on the inside of matter, namely the plant kingdom. At this stage of the evolutionary process the</w:t>
      </w:r>
      <w:r>
        <w:rPr>
          <w:rFonts w:ascii="Times New Roman" w:hAnsi="Times New Roman"/>
        </w:rPr>
        <w:t xml:space="preserve"> function of specialization appears for the first time, so that the parts become differentiated from the whole. In addition, the more inward character of biological processes provides the divine Subject with additional opportunities for expansion, as is ev</w:t>
      </w:r>
      <w:r>
        <w:rPr>
          <w:rFonts w:ascii="Times New Roman" w:hAnsi="Times New Roman"/>
        </w:rPr>
        <w:t>ident in growth. However, although the plant is able to grow and blossom, it is still limited due to its attachment to the Earth. Thus</w:t>
      </w:r>
      <w:r w:rsidR="00391C31">
        <w:rPr>
          <w:rFonts w:ascii="Times New Roman" w:hAnsi="Times New Roman"/>
        </w:rPr>
        <w:t>,</w:t>
      </w:r>
      <w:r>
        <w:rPr>
          <w:rFonts w:ascii="Times New Roman" w:hAnsi="Times New Roman"/>
        </w:rPr>
        <w:t xml:space="preserve"> in the next evolutionary stage the point interiorizes further, giving rise to sentience and the power of locomotion, both</w:t>
      </w:r>
      <w:r>
        <w:rPr>
          <w:rFonts w:ascii="Times New Roman" w:hAnsi="Times New Roman"/>
        </w:rPr>
        <w:t xml:space="preserve"> of which characterize the animal kingdom.</w:t>
      </w:r>
      <w:r>
        <w:rPr>
          <w:rStyle w:val="FootnoteAnchor"/>
          <w:rFonts w:ascii="Times New Roman" w:hAnsi="Times New Roman"/>
        </w:rPr>
        <w:footnoteReference w:id="27"/>
      </w:r>
      <w:r>
        <w:rPr>
          <w:rFonts w:ascii="Times New Roman" w:hAnsi="Times New Roman"/>
        </w:rPr>
        <w:t xml:space="preserve"> </w:t>
      </w:r>
      <w:r>
        <w:rPr>
          <w:rFonts w:ascii="Times New Roman" w:hAnsi="Times New Roman"/>
        </w:rPr>
        <w:lastRenderedPageBreak/>
        <w:t>This “interiorization” of three-dimensional matter symbolizes the activity first of the nutritive and then of the sensitive levels of soul, to use Aristotelian terminology.</w:t>
      </w:r>
    </w:p>
    <w:p w14:paraId="506950ED" w14:textId="77777777" w:rsidR="00C531F2" w:rsidRDefault="00C531F2" w:rsidP="00F53BE1">
      <w:pPr>
        <w:spacing w:line="360" w:lineRule="auto"/>
        <w:rPr>
          <w:rFonts w:ascii="Times New Roman" w:hAnsi="Times New Roman"/>
        </w:rPr>
      </w:pPr>
    </w:p>
    <w:p w14:paraId="735262FF" w14:textId="77777777" w:rsidR="00C531F2" w:rsidRDefault="00DE1F4F" w:rsidP="00F53BE1">
      <w:pPr>
        <w:spacing w:line="360" w:lineRule="auto"/>
      </w:pPr>
      <w:r>
        <w:rPr>
          <w:rFonts w:ascii="Times New Roman" w:hAnsi="Times New Roman"/>
        </w:rPr>
        <w:t>Since the whole cosmogonic process is</w:t>
      </w:r>
      <w:r>
        <w:rPr>
          <w:rFonts w:ascii="Times New Roman" w:hAnsi="Times New Roman"/>
        </w:rPr>
        <w:t xml:space="preserve"> grounded in God as ultimate Source, </w:t>
      </w:r>
      <w:proofErr w:type="spellStart"/>
      <w:r>
        <w:rPr>
          <w:rFonts w:ascii="Times New Roman" w:hAnsi="Times New Roman"/>
        </w:rPr>
        <w:t>Cutsinger</w:t>
      </w:r>
      <w:proofErr w:type="spellEnd"/>
      <w:r>
        <w:rPr>
          <w:rFonts w:ascii="Times New Roman" w:hAnsi="Times New Roman"/>
        </w:rPr>
        <w:t xml:space="preserve"> continues, it is the divine Subject deploying Itself through matter as life (i.e., the plant kingdom) and through life as sentience (i.e., the animal kingdom). In this understanding of evolution, in contrast t</w:t>
      </w:r>
      <w:r>
        <w:rPr>
          <w:rFonts w:ascii="Times New Roman" w:hAnsi="Times New Roman"/>
        </w:rPr>
        <w:t>o Darwinian transformism, it is not a question of matter “evolving” into life or life “evolving” into sentience, nor, needless to say, is it an evolution of amphibians into reptiles or of reptiles into birds. Rather, “the only evolution is that of the poin</w:t>
      </w:r>
      <w:r>
        <w:rPr>
          <w:rFonts w:ascii="Times New Roman" w:hAnsi="Times New Roman"/>
        </w:rPr>
        <w:t xml:space="preserve">t, which is the Divine Self as Subject. The forms of existence through which It ‘passes,’ in a strictly non-temporal and instantaneous way, do not themselves change, for they are the unalterable images of celestial ideas—the distinct and immutable shadows </w:t>
      </w:r>
      <w:r>
        <w:rPr>
          <w:rFonts w:ascii="Times New Roman" w:hAnsi="Times New Roman"/>
        </w:rPr>
        <w:t>cast by the Divine Sun as It shines upon the eternal archetypes of Its myriad creatures.”</w:t>
      </w:r>
      <w:r>
        <w:rPr>
          <w:rStyle w:val="FootnoteAnchor"/>
          <w:rFonts w:ascii="Times New Roman" w:hAnsi="Times New Roman"/>
        </w:rPr>
        <w:footnoteReference w:id="28"/>
      </w:r>
    </w:p>
    <w:p w14:paraId="3AACB4BE" w14:textId="77777777" w:rsidR="00C531F2" w:rsidRDefault="00C531F2" w:rsidP="00F53BE1">
      <w:pPr>
        <w:spacing w:line="360" w:lineRule="auto"/>
        <w:rPr>
          <w:rFonts w:ascii="Times New Roman" w:hAnsi="Times New Roman"/>
        </w:rPr>
      </w:pPr>
    </w:p>
    <w:p w14:paraId="0E9EAA47" w14:textId="77777777" w:rsidR="00C531F2" w:rsidRDefault="00DE1F4F" w:rsidP="00F53BE1">
      <w:pPr>
        <w:spacing w:line="360" w:lineRule="auto"/>
      </w:pPr>
      <w:r>
        <w:rPr>
          <w:rFonts w:ascii="Times New Roman" w:hAnsi="Times New Roman"/>
        </w:rPr>
        <w:t xml:space="preserve">This notion of the Divine Subject unfolding Itself in and through the evolutionary process was proposed more than two thousand years ago in the profound cosmogony </w:t>
      </w:r>
      <w:r>
        <w:rPr>
          <w:rFonts w:ascii="Times New Roman" w:hAnsi="Times New Roman"/>
        </w:rPr>
        <w:t>taught by Diogenes of Apollonia: “But all these things (earth, water, air, fire, and all the rest of the things in the cosmos), being differentiated out of the same thing [i.e., God], come to be different things at different times</w:t>
      </w:r>
    </w:p>
    <w:p w14:paraId="77F723AE" w14:textId="77777777" w:rsidR="00C531F2" w:rsidRDefault="00DE1F4F" w:rsidP="00F53BE1">
      <w:pPr>
        <w:spacing w:line="360" w:lineRule="auto"/>
      </w:pPr>
      <w:r>
        <w:rPr>
          <w:rFonts w:ascii="Times New Roman" w:hAnsi="Times New Roman"/>
        </w:rPr>
        <w:t xml:space="preserve">and return into the same </w:t>
      </w:r>
      <w:r>
        <w:rPr>
          <w:rFonts w:ascii="Times New Roman" w:hAnsi="Times New Roman"/>
        </w:rPr>
        <w:t>thing” (Fragment 2).</w:t>
      </w:r>
      <w:r>
        <w:rPr>
          <w:rStyle w:val="FootnoteAnchor"/>
          <w:rFonts w:ascii="Times New Roman" w:hAnsi="Times New Roman"/>
        </w:rPr>
        <w:footnoteReference w:id="29"/>
      </w:r>
      <w:r>
        <w:rPr>
          <w:rFonts w:ascii="Times New Roman" w:hAnsi="Times New Roman"/>
        </w:rPr>
        <w:t xml:space="preserve"> In other words, the various stages of an evolutionary process in time are none other than the multiple states of a single, non-temporal divine Essence.</w:t>
      </w:r>
      <w:r>
        <w:rPr>
          <w:rStyle w:val="FootnoteAnchor"/>
          <w:rFonts w:ascii="Times New Roman" w:hAnsi="Times New Roman"/>
        </w:rPr>
        <w:footnoteReference w:id="30"/>
      </w:r>
      <w:r>
        <w:rPr>
          <w:rFonts w:ascii="Times New Roman" w:hAnsi="Times New Roman"/>
        </w:rPr>
        <w:t xml:space="preserve">  Accordingly, cosmic reality (including the living kingdoms) is neither monisti</w:t>
      </w:r>
      <w:r>
        <w:rPr>
          <w:rFonts w:ascii="Times New Roman" w:hAnsi="Times New Roman"/>
        </w:rPr>
        <w:t>c nor dualistic, but comprises a differentiated unity, or a many-in-One.</w:t>
      </w:r>
    </w:p>
    <w:p w14:paraId="5F20CBC3" w14:textId="77777777" w:rsidR="00C531F2" w:rsidRDefault="00C531F2" w:rsidP="00F53BE1">
      <w:pPr>
        <w:spacing w:line="360" w:lineRule="auto"/>
        <w:rPr>
          <w:rFonts w:ascii="Times New Roman" w:hAnsi="Times New Roman"/>
        </w:rPr>
      </w:pPr>
    </w:p>
    <w:p w14:paraId="0835D3EE" w14:textId="77777777" w:rsidR="00C531F2" w:rsidRDefault="00DE1F4F" w:rsidP="00F53BE1">
      <w:pPr>
        <w:spacing w:line="360" w:lineRule="auto"/>
      </w:pPr>
      <w:r>
        <w:rPr>
          <w:rFonts w:ascii="Times New Roman" w:hAnsi="Times New Roman"/>
        </w:rPr>
        <w:t>Wynand de Beer</w:t>
      </w:r>
    </w:p>
    <w:p w14:paraId="14100E02" w14:textId="77777777" w:rsidR="00C531F2" w:rsidRDefault="00DE1F4F" w:rsidP="00F53BE1">
      <w:pPr>
        <w:spacing w:line="360" w:lineRule="auto"/>
      </w:pPr>
      <w:r>
        <w:rPr>
          <w:rFonts w:ascii="Times New Roman" w:hAnsi="Times New Roman"/>
        </w:rPr>
        <w:t>Bristol, 2020</w:t>
      </w:r>
    </w:p>
    <w:p w14:paraId="46F60D36" w14:textId="77777777" w:rsidR="00C531F2" w:rsidRDefault="00C531F2" w:rsidP="00F53BE1">
      <w:pPr>
        <w:spacing w:line="360" w:lineRule="auto"/>
        <w:rPr>
          <w:rFonts w:ascii="Times New Roman" w:hAnsi="Times New Roman"/>
        </w:rPr>
      </w:pPr>
    </w:p>
    <w:p w14:paraId="6865AA14" w14:textId="45152710" w:rsidR="00C531F2" w:rsidRDefault="00391C31" w:rsidP="00F53BE1">
      <w:pPr>
        <w:spacing w:line="360" w:lineRule="auto"/>
      </w:pPr>
      <w:r>
        <w:rPr>
          <w:rFonts w:ascii="Times New Roman" w:hAnsi="Times New Roman"/>
        </w:rPr>
        <w:t>[</w:t>
      </w:r>
      <w:r w:rsidR="00DE1F4F">
        <w:rPr>
          <w:rFonts w:ascii="Times New Roman" w:hAnsi="Times New Roman"/>
        </w:rPr>
        <w:t xml:space="preserve">This essay comprises the introductory chapter of the author’s book </w:t>
      </w:r>
      <w:r w:rsidR="00DE1F4F">
        <w:rPr>
          <w:rFonts w:ascii="Times New Roman" w:hAnsi="Times New Roman"/>
          <w:i/>
          <w:iCs/>
        </w:rPr>
        <w:t>From Logos to Bios. Evolutionary Theory in Light of Plato, Aristotle &amp; Neoplatonism</w:t>
      </w:r>
      <w:r w:rsidR="00DE1F4F">
        <w:rPr>
          <w:rFonts w:ascii="Times New Roman" w:hAnsi="Times New Roman"/>
        </w:rPr>
        <w:t xml:space="preserve"> (</w:t>
      </w:r>
      <w:r w:rsidR="00DE1F4F">
        <w:rPr>
          <w:rFonts w:ascii="Times New Roman" w:hAnsi="Times New Roman"/>
        </w:rPr>
        <w:t xml:space="preserve">New York: Angelico Press, 2018), with slight modifications. Reprinted in </w:t>
      </w:r>
      <w:r w:rsidR="00DE1F4F">
        <w:rPr>
          <w:rFonts w:ascii="Times New Roman" w:hAnsi="Times New Roman"/>
          <w:i/>
          <w:iCs/>
        </w:rPr>
        <w:t>Sacred Web</w:t>
      </w:r>
      <w:r w:rsidR="00DE1F4F">
        <w:rPr>
          <w:rFonts w:ascii="Times New Roman" w:hAnsi="Times New Roman"/>
        </w:rPr>
        <w:t xml:space="preserve"> </w:t>
      </w:r>
      <w:r w:rsidR="00F53BE1">
        <w:rPr>
          <w:rFonts w:ascii="Times New Roman" w:hAnsi="Times New Roman"/>
        </w:rPr>
        <w:t xml:space="preserve">(Number 46, Winter 2020) </w:t>
      </w:r>
      <w:r w:rsidR="00DE1F4F">
        <w:rPr>
          <w:rFonts w:ascii="Times New Roman" w:hAnsi="Times New Roman"/>
        </w:rPr>
        <w:t>with the publisher’s permission.</w:t>
      </w:r>
      <w:r>
        <w:rPr>
          <w:rFonts w:ascii="Times New Roman" w:hAnsi="Times New Roman"/>
        </w:rPr>
        <w:t>]</w:t>
      </w:r>
    </w:p>
    <w:p w14:paraId="1F3ABCD3" w14:textId="77777777" w:rsidR="00C531F2" w:rsidRDefault="00C531F2" w:rsidP="00F53BE1">
      <w:pPr>
        <w:spacing w:line="360" w:lineRule="auto"/>
      </w:pPr>
    </w:p>
    <w:sectPr w:rsidR="00C531F2">
      <w:pgSz w:w="11906" w:h="16838"/>
      <w:pgMar w:top="1134" w:right="1134" w:bottom="1134" w:left="1134" w:header="0"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DEEF5" w14:textId="77777777" w:rsidR="00DE1F4F" w:rsidRDefault="00DE1F4F">
      <w:r>
        <w:separator/>
      </w:r>
    </w:p>
  </w:endnote>
  <w:endnote w:type="continuationSeparator" w:id="0">
    <w:p w14:paraId="3F1B35FF" w14:textId="77777777" w:rsidR="00DE1F4F" w:rsidRDefault="00DE1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B609D" w14:textId="77777777" w:rsidR="00DE1F4F" w:rsidRDefault="00DE1F4F">
      <w:r>
        <w:separator/>
      </w:r>
    </w:p>
  </w:footnote>
  <w:footnote w:type="continuationSeparator" w:id="0">
    <w:p w14:paraId="73F543B1" w14:textId="77777777" w:rsidR="00DE1F4F" w:rsidRDefault="00DE1F4F">
      <w:r>
        <w:continuationSeparator/>
      </w:r>
    </w:p>
  </w:footnote>
  <w:footnote w:id="1">
    <w:p w14:paraId="1A31FEAD"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Gilson, Etienne, </w:t>
      </w:r>
      <w:r w:rsidRPr="00F53BE1">
        <w:rPr>
          <w:rFonts w:ascii="Times New Roman" w:hAnsi="Times New Roman" w:cs="Times New Roman"/>
          <w:i/>
          <w:sz w:val="20"/>
          <w:szCs w:val="20"/>
        </w:rPr>
        <w:t xml:space="preserve">From Aristotle to Darwin and Back Again. A Journey in Final Causality, Species, and </w:t>
      </w:r>
      <w:r w:rsidRPr="00F53BE1">
        <w:rPr>
          <w:rFonts w:ascii="Times New Roman" w:hAnsi="Times New Roman" w:cs="Times New Roman"/>
          <w:i/>
          <w:sz w:val="20"/>
          <w:szCs w:val="20"/>
        </w:rPr>
        <w:t>Evolution</w:t>
      </w:r>
      <w:r w:rsidRPr="00F53BE1">
        <w:rPr>
          <w:rFonts w:ascii="Times New Roman" w:hAnsi="Times New Roman" w:cs="Times New Roman"/>
          <w:sz w:val="20"/>
          <w:szCs w:val="20"/>
        </w:rPr>
        <w:t>, trans. John Lyon (San Francisco, Ignatius Press, 2009), 59.</w:t>
      </w:r>
    </w:p>
  </w:footnote>
  <w:footnote w:id="2">
    <w:p w14:paraId="0B040007"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w:t>
      </w:r>
      <w:proofErr w:type="spellStart"/>
      <w:r w:rsidRPr="00F53BE1">
        <w:rPr>
          <w:rFonts w:ascii="Times New Roman" w:hAnsi="Times New Roman" w:cs="Times New Roman"/>
          <w:sz w:val="20"/>
          <w:szCs w:val="20"/>
        </w:rPr>
        <w:t>Cutsinger</w:t>
      </w:r>
      <w:proofErr w:type="spellEnd"/>
      <w:r w:rsidRPr="00F53BE1">
        <w:rPr>
          <w:rFonts w:ascii="Times New Roman" w:hAnsi="Times New Roman" w:cs="Times New Roman"/>
          <w:sz w:val="20"/>
          <w:szCs w:val="20"/>
        </w:rPr>
        <w:t>, James S., “On Earth as it is in Heaven,” 2007, 11. http://www.cutsinger.net/pdf/ earth_as_it_is_in_heaven.pdf</w:t>
      </w:r>
    </w:p>
  </w:footnote>
  <w:footnote w:id="3">
    <w:p w14:paraId="3381C377"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Blackburn, Simon, </w:t>
      </w:r>
      <w:r w:rsidRPr="00F53BE1">
        <w:rPr>
          <w:rFonts w:ascii="Times New Roman" w:hAnsi="Times New Roman" w:cs="Times New Roman"/>
          <w:i/>
          <w:sz w:val="20"/>
          <w:szCs w:val="20"/>
        </w:rPr>
        <w:t>The Oxford Dictionary of Philosophy</w:t>
      </w:r>
      <w:r w:rsidRPr="00F53BE1">
        <w:rPr>
          <w:rFonts w:ascii="Times New Roman" w:hAnsi="Times New Roman" w:cs="Times New Roman"/>
          <w:sz w:val="20"/>
          <w:szCs w:val="20"/>
        </w:rPr>
        <w:t xml:space="preserve"> </w:t>
      </w:r>
      <w:r w:rsidRPr="00F53BE1">
        <w:rPr>
          <w:rFonts w:ascii="Times New Roman" w:hAnsi="Times New Roman" w:cs="Times New Roman"/>
          <w:sz w:val="20"/>
          <w:szCs w:val="20"/>
        </w:rPr>
        <w:t>(Oxfor</w:t>
      </w:r>
      <w:r w:rsidRPr="00F53BE1">
        <w:rPr>
          <w:rFonts w:ascii="Times New Roman" w:hAnsi="Times New Roman" w:cs="Times New Roman"/>
          <w:sz w:val="20"/>
          <w:szCs w:val="20"/>
        </w:rPr>
        <w:t>d: Oxford University Press, 2008), 123.</w:t>
      </w:r>
    </w:p>
  </w:footnote>
  <w:footnote w:id="4">
    <w:p w14:paraId="14348B8B" w14:textId="77777777" w:rsidR="00C531F2" w:rsidRDefault="00DE1F4F">
      <w:pPr>
        <w:spacing w:line="276" w:lineRule="auto"/>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Quoted in Burckhardt, Titus, “Cosmology and Modern Science,” in </w:t>
      </w:r>
      <w:r w:rsidRPr="00F53BE1">
        <w:rPr>
          <w:rFonts w:ascii="Times New Roman" w:hAnsi="Times New Roman" w:cs="Times New Roman"/>
          <w:i/>
          <w:sz w:val="20"/>
          <w:szCs w:val="20"/>
        </w:rPr>
        <w:t>The Sword of Gnosis. Metaphysics, Cosmology, Tradition, Symbolism</w:t>
      </w:r>
      <w:r w:rsidRPr="00F53BE1">
        <w:rPr>
          <w:rFonts w:ascii="Times New Roman" w:hAnsi="Times New Roman" w:cs="Times New Roman"/>
          <w:sz w:val="20"/>
          <w:szCs w:val="20"/>
        </w:rPr>
        <w:t>, ed. Jacob Needleman (Baltimore, MD: Penguin Books, 1974), 147.</w:t>
      </w:r>
    </w:p>
  </w:footnote>
  <w:footnote w:id="5">
    <w:p w14:paraId="3EDA08C5"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Bakar, Osman, “The</w:t>
      </w:r>
      <w:r w:rsidRPr="00F53BE1">
        <w:rPr>
          <w:rFonts w:ascii="Times New Roman" w:hAnsi="Times New Roman" w:cs="Times New Roman"/>
          <w:sz w:val="20"/>
          <w:szCs w:val="20"/>
        </w:rPr>
        <w:t xml:space="preserve"> Nature and Extent of Criticism of Evolutionary Theory,” in </w:t>
      </w:r>
      <w:r w:rsidRPr="00F53BE1">
        <w:rPr>
          <w:rFonts w:ascii="Times New Roman" w:hAnsi="Times New Roman" w:cs="Times New Roman"/>
          <w:i/>
          <w:sz w:val="20"/>
          <w:szCs w:val="20"/>
        </w:rPr>
        <w:t>Science and the Myth of Progress</w:t>
      </w:r>
      <w:r w:rsidRPr="00F53BE1">
        <w:rPr>
          <w:rFonts w:ascii="Times New Roman" w:hAnsi="Times New Roman" w:cs="Times New Roman"/>
          <w:sz w:val="20"/>
          <w:szCs w:val="20"/>
        </w:rPr>
        <w:t xml:space="preserve">, ed. Mehrdad </w:t>
      </w:r>
      <w:proofErr w:type="spellStart"/>
      <w:r w:rsidRPr="00F53BE1">
        <w:rPr>
          <w:rFonts w:ascii="Times New Roman" w:hAnsi="Times New Roman" w:cs="Times New Roman"/>
          <w:sz w:val="20"/>
          <w:szCs w:val="20"/>
        </w:rPr>
        <w:t>Zarandi</w:t>
      </w:r>
      <w:proofErr w:type="spellEnd"/>
      <w:r w:rsidRPr="00F53BE1">
        <w:rPr>
          <w:rFonts w:ascii="Times New Roman" w:hAnsi="Times New Roman" w:cs="Times New Roman"/>
          <w:sz w:val="20"/>
          <w:szCs w:val="20"/>
        </w:rPr>
        <w:t xml:space="preserve"> (2003): 164. www.worldwisdom.com/public/library/default.aspx.</w:t>
      </w:r>
    </w:p>
  </w:footnote>
  <w:footnote w:id="6">
    <w:p w14:paraId="4D8F4D06"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w:t>
      </w:r>
      <w:r w:rsidRPr="00F53BE1">
        <w:rPr>
          <w:rFonts w:ascii="Times New Roman" w:hAnsi="Times New Roman" w:cs="Times New Roman"/>
          <w:i/>
          <w:iCs/>
          <w:sz w:val="20"/>
          <w:szCs w:val="20"/>
        </w:rPr>
        <w:t>Ibid</w:t>
      </w:r>
      <w:r w:rsidRPr="00F53BE1">
        <w:rPr>
          <w:rFonts w:ascii="Times New Roman" w:hAnsi="Times New Roman" w:cs="Times New Roman"/>
          <w:sz w:val="20"/>
          <w:szCs w:val="20"/>
        </w:rPr>
        <w:t xml:space="preserve">., 166; </w:t>
      </w:r>
      <w:r w:rsidRPr="00F53BE1">
        <w:rPr>
          <w:rFonts w:ascii="Times New Roman" w:hAnsi="Times New Roman" w:cs="Times New Roman"/>
          <w:sz w:val="20"/>
          <w:szCs w:val="20"/>
        </w:rPr>
        <w:t xml:space="preserve">Coomaraswamy, Ananda. </w:t>
      </w:r>
      <w:r w:rsidRPr="00F53BE1">
        <w:rPr>
          <w:rFonts w:ascii="Times New Roman" w:hAnsi="Times New Roman" w:cs="Times New Roman"/>
          <w:i/>
          <w:iCs/>
          <w:sz w:val="20"/>
          <w:szCs w:val="20"/>
        </w:rPr>
        <w:t>What is Civilization? And other essays</w:t>
      </w:r>
      <w:r w:rsidRPr="00F53BE1">
        <w:rPr>
          <w:rFonts w:ascii="Times New Roman" w:hAnsi="Times New Roman" w:cs="Times New Roman"/>
          <w:sz w:val="20"/>
          <w:szCs w:val="20"/>
        </w:rPr>
        <w:t xml:space="preserve"> (Ipsw</w:t>
      </w:r>
      <w:r w:rsidRPr="00F53BE1">
        <w:rPr>
          <w:rFonts w:ascii="Times New Roman" w:hAnsi="Times New Roman" w:cs="Times New Roman"/>
          <w:sz w:val="20"/>
          <w:szCs w:val="20"/>
        </w:rPr>
        <w:t xml:space="preserve">ich: </w:t>
      </w:r>
      <w:proofErr w:type="spellStart"/>
      <w:r w:rsidRPr="00F53BE1">
        <w:rPr>
          <w:rFonts w:ascii="Times New Roman" w:hAnsi="Times New Roman" w:cs="Times New Roman"/>
          <w:sz w:val="20"/>
          <w:szCs w:val="20"/>
        </w:rPr>
        <w:t>Golgonooza</w:t>
      </w:r>
      <w:proofErr w:type="spellEnd"/>
      <w:r w:rsidRPr="00F53BE1">
        <w:rPr>
          <w:rFonts w:ascii="Times New Roman" w:hAnsi="Times New Roman" w:cs="Times New Roman"/>
          <w:sz w:val="20"/>
          <w:szCs w:val="20"/>
        </w:rPr>
        <w:t xml:space="preserve"> Press, 1989),</w:t>
      </w:r>
      <w:r w:rsidRPr="00F53BE1">
        <w:rPr>
          <w:rFonts w:ascii="Times New Roman" w:hAnsi="Times New Roman" w:cs="Times New Roman"/>
          <w:sz w:val="20"/>
          <w:szCs w:val="20"/>
        </w:rPr>
        <w:t xml:space="preserve"> 70.</w:t>
      </w:r>
    </w:p>
  </w:footnote>
  <w:footnote w:id="7">
    <w:p w14:paraId="0D8AC8C2" w14:textId="77777777" w:rsidR="00C531F2" w:rsidRPr="00F53BE1" w:rsidRDefault="00DE1F4F">
      <w:pPr>
        <w:spacing w:line="276" w:lineRule="auto"/>
        <w:rPr>
          <w:rFonts w:ascii="Times New Roman" w:hAnsi="Times New Roman" w:cs="Times New Roman"/>
          <w:sz w:val="20"/>
          <w:szCs w:val="20"/>
        </w:rPr>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Quoted in </w:t>
      </w:r>
      <w:proofErr w:type="spellStart"/>
      <w:r w:rsidRPr="00F53BE1">
        <w:rPr>
          <w:rFonts w:ascii="Times New Roman" w:hAnsi="Times New Roman" w:cs="Times New Roman"/>
          <w:sz w:val="20"/>
          <w:szCs w:val="20"/>
        </w:rPr>
        <w:t>Cutsinger</w:t>
      </w:r>
      <w:proofErr w:type="spellEnd"/>
      <w:r w:rsidRPr="00F53BE1">
        <w:rPr>
          <w:rFonts w:ascii="Times New Roman" w:hAnsi="Times New Roman" w:cs="Times New Roman"/>
          <w:sz w:val="20"/>
          <w:szCs w:val="20"/>
        </w:rPr>
        <w:t xml:space="preserve">, </w:t>
      </w:r>
      <w:r w:rsidRPr="00F53BE1">
        <w:rPr>
          <w:rFonts w:ascii="Times New Roman" w:hAnsi="Times New Roman" w:cs="Times New Roman"/>
          <w:i/>
          <w:sz w:val="20"/>
          <w:szCs w:val="20"/>
        </w:rPr>
        <w:t>Earth</w:t>
      </w:r>
      <w:r w:rsidRPr="00F53BE1">
        <w:rPr>
          <w:rFonts w:ascii="Times New Roman" w:hAnsi="Times New Roman" w:cs="Times New Roman"/>
          <w:sz w:val="20"/>
          <w:szCs w:val="20"/>
        </w:rPr>
        <w:t>, 23–24.</w:t>
      </w:r>
    </w:p>
  </w:footnote>
  <w:footnote w:id="8">
    <w:p w14:paraId="20446B55" w14:textId="77777777" w:rsidR="00C531F2" w:rsidRDefault="00DE1F4F">
      <w:pPr>
        <w:spacing w:line="276" w:lineRule="auto"/>
      </w:pPr>
      <w:r w:rsidRPr="00F53BE1">
        <w:rPr>
          <w:rStyle w:val="FootnoteCharacters"/>
          <w:rFonts w:ascii="Times New Roman" w:hAnsi="Times New Roman" w:cs="Times New Roman"/>
          <w:sz w:val="20"/>
          <w:szCs w:val="20"/>
        </w:rPr>
        <w:footnoteRef/>
      </w:r>
      <w:r w:rsidRPr="00F53BE1">
        <w:rPr>
          <w:rFonts w:ascii="Times New Roman" w:hAnsi="Times New Roman" w:cs="Times New Roman"/>
          <w:sz w:val="20"/>
          <w:szCs w:val="20"/>
        </w:rPr>
        <w:t xml:space="preserve"> Coomaraswamy, </w:t>
      </w:r>
      <w:r w:rsidRPr="00F53BE1">
        <w:rPr>
          <w:rFonts w:ascii="Times New Roman" w:hAnsi="Times New Roman" w:cs="Times New Roman"/>
          <w:i/>
          <w:sz w:val="20"/>
          <w:szCs w:val="20"/>
        </w:rPr>
        <w:t>Civilization</w:t>
      </w:r>
      <w:r w:rsidRPr="00F53BE1">
        <w:rPr>
          <w:rFonts w:ascii="Times New Roman" w:hAnsi="Times New Roman" w:cs="Times New Roman"/>
          <w:sz w:val="20"/>
          <w:szCs w:val="20"/>
        </w:rPr>
        <w:t>, 71, 74, 83.</w:t>
      </w:r>
    </w:p>
  </w:footnote>
  <w:footnote w:id="9">
    <w:p w14:paraId="7BD65FD6"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Van Till, Howard J., “Basil, Augustine, and the Doctrine of Creation’s Functional Integrity,” in</w:t>
      </w:r>
    </w:p>
    <w:p w14:paraId="6A278B47" w14:textId="77777777" w:rsidR="00C531F2" w:rsidRPr="00391C31" w:rsidRDefault="00DE1F4F">
      <w:pPr>
        <w:spacing w:line="276" w:lineRule="auto"/>
        <w:rPr>
          <w:rFonts w:ascii="Times New Roman" w:hAnsi="Times New Roman" w:cs="Times New Roman"/>
          <w:sz w:val="20"/>
          <w:szCs w:val="20"/>
        </w:rPr>
      </w:pPr>
      <w:r w:rsidRPr="00391C31">
        <w:rPr>
          <w:rFonts w:ascii="Times New Roman" w:hAnsi="Times New Roman" w:cs="Times New Roman"/>
          <w:i/>
          <w:sz w:val="20"/>
          <w:szCs w:val="20"/>
        </w:rPr>
        <w:t xml:space="preserve">Science &amp; Christian Belief </w:t>
      </w:r>
      <w:r w:rsidRPr="00391C31">
        <w:rPr>
          <w:rFonts w:ascii="Times New Roman" w:hAnsi="Times New Roman" w:cs="Times New Roman"/>
          <w:sz w:val="20"/>
          <w:szCs w:val="20"/>
        </w:rPr>
        <w:t>8: 1 (1996): 21–38. http://www.asa3.org/ASA/topics/Evolution/S&amp;CB</w:t>
      </w:r>
    </w:p>
    <w:p w14:paraId="0A170A6C" w14:textId="77777777" w:rsidR="00C531F2" w:rsidRPr="00391C31" w:rsidRDefault="00DE1F4F">
      <w:pPr>
        <w:spacing w:line="276" w:lineRule="auto"/>
        <w:rPr>
          <w:rFonts w:ascii="Times New Roman" w:hAnsi="Times New Roman" w:cs="Times New Roman"/>
          <w:sz w:val="20"/>
          <w:szCs w:val="20"/>
        </w:rPr>
      </w:pPr>
      <w:r w:rsidRPr="00391C31">
        <w:rPr>
          <w:rFonts w:ascii="Times New Roman" w:hAnsi="Times New Roman" w:cs="Times New Roman"/>
          <w:sz w:val="20"/>
          <w:szCs w:val="20"/>
        </w:rPr>
        <w:t>4-96VanTill.html.</w:t>
      </w:r>
    </w:p>
  </w:footnote>
  <w:footnote w:id="10">
    <w:p w14:paraId="30F78CBB"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Smith, Wolfgang, </w:t>
      </w:r>
      <w:r w:rsidRPr="00391C31">
        <w:rPr>
          <w:rFonts w:ascii="Times New Roman" w:hAnsi="Times New Roman" w:cs="Times New Roman"/>
          <w:i/>
          <w:sz w:val="20"/>
          <w:szCs w:val="20"/>
        </w:rPr>
        <w:t xml:space="preserve">Cosmos and Transcendence </w:t>
      </w:r>
      <w:r w:rsidRPr="00391C31">
        <w:rPr>
          <w:rFonts w:ascii="Times New Roman" w:hAnsi="Times New Roman" w:cs="Times New Roman"/>
          <w:sz w:val="20"/>
          <w:szCs w:val="20"/>
        </w:rPr>
        <w:t>(San Rafael, CA: Sophia Perennis, 2008), 89.</w:t>
      </w:r>
    </w:p>
  </w:footnote>
  <w:footnote w:id="11">
    <w:p w14:paraId="23DE9DF4"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Aquinas, Thomas. </w:t>
      </w:r>
      <w:r w:rsidRPr="00391C31">
        <w:rPr>
          <w:rFonts w:ascii="Times New Roman" w:hAnsi="Times New Roman" w:cs="Times New Roman"/>
          <w:i/>
          <w:sz w:val="20"/>
          <w:szCs w:val="20"/>
        </w:rPr>
        <w:t>Selected Philosophical Writings</w:t>
      </w:r>
      <w:r w:rsidRPr="00391C31">
        <w:rPr>
          <w:rFonts w:ascii="Times New Roman" w:hAnsi="Times New Roman" w:cs="Times New Roman"/>
          <w:sz w:val="20"/>
          <w:szCs w:val="20"/>
        </w:rPr>
        <w:t>, tran</w:t>
      </w:r>
      <w:r w:rsidRPr="00391C31">
        <w:rPr>
          <w:rFonts w:ascii="Times New Roman" w:hAnsi="Times New Roman" w:cs="Times New Roman"/>
          <w:sz w:val="20"/>
          <w:szCs w:val="20"/>
        </w:rPr>
        <w:t>s. Timothy McDermott (Oxford: Oxford University Press, 1993), 275.</w:t>
      </w:r>
    </w:p>
  </w:footnote>
  <w:footnote w:id="12">
    <w:p w14:paraId="2E5E6013" w14:textId="77777777" w:rsidR="00C531F2" w:rsidRDefault="00DE1F4F">
      <w:pPr>
        <w:spacing w:line="276" w:lineRule="auto"/>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w:t>
      </w:r>
      <w:proofErr w:type="spellStart"/>
      <w:r w:rsidRPr="00391C31">
        <w:rPr>
          <w:rFonts w:ascii="Times New Roman" w:hAnsi="Times New Roman" w:cs="Times New Roman"/>
          <w:sz w:val="20"/>
          <w:szCs w:val="20"/>
        </w:rPr>
        <w:t>Schuon</w:t>
      </w:r>
      <w:proofErr w:type="spellEnd"/>
      <w:r w:rsidRPr="00391C31">
        <w:rPr>
          <w:rFonts w:ascii="Times New Roman" w:hAnsi="Times New Roman" w:cs="Times New Roman"/>
          <w:sz w:val="20"/>
          <w:szCs w:val="20"/>
        </w:rPr>
        <w:t xml:space="preserve">, </w:t>
      </w:r>
      <w:proofErr w:type="spellStart"/>
      <w:r w:rsidRPr="00391C31">
        <w:rPr>
          <w:rFonts w:ascii="Times New Roman" w:hAnsi="Times New Roman" w:cs="Times New Roman"/>
          <w:sz w:val="20"/>
          <w:szCs w:val="20"/>
        </w:rPr>
        <w:t>Frithjof</w:t>
      </w:r>
      <w:proofErr w:type="spellEnd"/>
      <w:r w:rsidRPr="00391C31">
        <w:rPr>
          <w:rFonts w:ascii="Times New Roman" w:hAnsi="Times New Roman" w:cs="Times New Roman"/>
          <w:sz w:val="20"/>
          <w:szCs w:val="20"/>
        </w:rPr>
        <w:t xml:space="preserve">, </w:t>
      </w:r>
      <w:r w:rsidRPr="00391C31">
        <w:rPr>
          <w:rFonts w:ascii="Times New Roman" w:hAnsi="Times New Roman" w:cs="Times New Roman"/>
          <w:i/>
          <w:sz w:val="20"/>
          <w:szCs w:val="20"/>
        </w:rPr>
        <w:t>Sophia Perennis and the Theory of Evolution and Progress</w:t>
      </w:r>
      <w:r w:rsidRPr="00391C31">
        <w:rPr>
          <w:rFonts w:ascii="Times New Roman" w:hAnsi="Times New Roman" w:cs="Times New Roman"/>
          <w:sz w:val="20"/>
          <w:szCs w:val="20"/>
        </w:rPr>
        <w:t xml:space="preserve">, </w:t>
      </w:r>
      <w:r w:rsidRPr="00391C31">
        <w:rPr>
          <w:rFonts w:ascii="Times New Roman" w:hAnsi="Times New Roman" w:cs="Times New Roman"/>
          <w:sz w:val="20"/>
          <w:szCs w:val="20"/>
        </w:rPr>
        <w:t>2001: 4. http://www.frithof-schuon.com/evolution-engl.htm.</w:t>
      </w:r>
    </w:p>
  </w:footnote>
  <w:footnote w:id="13">
    <w:p w14:paraId="759888D9"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Swift, David. </w:t>
      </w:r>
      <w:r w:rsidRPr="00391C31">
        <w:rPr>
          <w:rFonts w:ascii="Times New Roman" w:hAnsi="Times New Roman" w:cs="Times New Roman"/>
          <w:i/>
          <w:sz w:val="20"/>
          <w:szCs w:val="20"/>
        </w:rPr>
        <w:t>Evolution under the microscope. A sc</w:t>
      </w:r>
      <w:r w:rsidRPr="00391C31">
        <w:rPr>
          <w:rFonts w:ascii="Times New Roman" w:hAnsi="Times New Roman" w:cs="Times New Roman"/>
          <w:i/>
          <w:sz w:val="20"/>
          <w:szCs w:val="20"/>
        </w:rPr>
        <w:t>ientific critique of the theory of evolution</w:t>
      </w:r>
      <w:r w:rsidRPr="00391C31">
        <w:rPr>
          <w:rFonts w:ascii="Times New Roman" w:hAnsi="Times New Roman" w:cs="Times New Roman"/>
          <w:sz w:val="20"/>
          <w:szCs w:val="20"/>
        </w:rPr>
        <w:t xml:space="preserve"> (Stirling: Leighton, 2002)</w:t>
      </w:r>
      <w:r w:rsidRPr="00391C31">
        <w:rPr>
          <w:rFonts w:ascii="Times New Roman" w:hAnsi="Times New Roman" w:cs="Times New Roman"/>
          <w:sz w:val="20"/>
          <w:szCs w:val="20"/>
        </w:rPr>
        <w:t>, 76. See Robert Chambers’</w:t>
      </w:r>
      <w:r w:rsidRPr="00391C31">
        <w:rPr>
          <w:rFonts w:ascii="Times New Roman" w:hAnsi="Times New Roman" w:cs="Times New Roman"/>
          <w:sz w:val="20"/>
          <w:szCs w:val="20"/>
        </w:rPr>
        <w:t xml:space="preserve"> epochal </w:t>
      </w:r>
      <w:r w:rsidRPr="00391C31">
        <w:rPr>
          <w:rFonts w:ascii="Times New Roman" w:hAnsi="Times New Roman" w:cs="Times New Roman"/>
          <w:i/>
          <w:sz w:val="20"/>
          <w:szCs w:val="20"/>
        </w:rPr>
        <w:t>Vestiges of the Natural History of Creation</w:t>
      </w:r>
      <w:r w:rsidRPr="00391C31">
        <w:rPr>
          <w:rFonts w:ascii="Times New Roman" w:hAnsi="Times New Roman" w:cs="Times New Roman"/>
          <w:sz w:val="20"/>
          <w:szCs w:val="20"/>
        </w:rPr>
        <w:t>, published anonymously in 1844.</w:t>
      </w:r>
    </w:p>
  </w:footnote>
  <w:footnote w:id="14">
    <w:p w14:paraId="77C6E5C3"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Van Till, Howard J., </w:t>
      </w:r>
      <w:r w:rsidRPr="00391C31">
        <w:rPr>
          <w:rFonts w:ascii="Times New Roman" w:hAnsi="Times New Roman" w:cs="Times New Roman"/>
          <w:sz w:val="20"/>
          <w:szCs w:val="20"/>
        </w:rPr>
        <w:t xml:space="preserve">“Basil and Augustine Revisited: The Survival of Functional Integrity,” </w:t>
      </w:r>
      <w:r w:rsidRPr="00391C31">
        <w:rPr>
          <w:rFonts w:ascii="Times New Roman" w:hAnsi="Times New Roman" w:cs="Times New Roman"/>
          <w:i/>
          <w:sz w:val="20"/>
          <w:szCs w:val="20"/>
        </w:rPr>
        <w:t>Origins &amp; Design</w:t>
      </w:r>
      <w:r w:rsidRPr="00391C31">
        <w:rPr>
          <w:rFonts w:ascii="Times New Roman" w:hAnsi="Times New Roman" w:cs="Times New Roman"/>
          <w:sz w:val="20"/>
          <w:szCs w:val="20"/>
        </w:rPr>
        <w:t>, 19:1 (1998). http://www.arn.org/docs/odesign/od191/basilaug191.htm.</w:t>
      </w:r>
    </w:p>
  </w:footnote>
  <w:footnote w:id="15">
    <w:p w14:paraId="246970A3"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w:t>
      </w:r>
      <w:r w:rsidRPr="00391C31">
        <w:rPr>
          <w:rFonts w:ascii="Times New Roman" w:hAnsi="Times New Roman" w:cs="Times New Roman"/>
          <w:i/>
          <w:iCs/>
          <w:sz w:val="20"/>
          <w:szCs w:val="20"/>
        </w:rPr>
        <w:t>Ibid</w:t>
      </w:r>
      <w:r w:rsidRPr="00391C31">
        <w:rPr>
          <w:rFonts w:ascii="Times New Roman" w:hAnsi="Times New Roman" w:cs="Times New Roman"/>
          <w:sz w:val="20"/>
          <w:szCs w:val="20"/>
        </w:rPr>
        <w:t>.</w:t>
      </w:r>
    </w:p>
  </w:footnote>
  <w:footnote w:id="16">
    <w:p w14:paraId="7C12EE5C"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Coomaraswamy, </w:t>
      </w:r>
      <w:r w:rsidRPr="00391C31">
        <w:rPr>
          <w:rFonts w:ascii="Times New Roman" w:hAnsi="Times New Roman" w:cs="Times New Roman"/>
          <w:i/>
          <w:sz w:val="20"/>
          <w:szCs w:val="20"/>
        </w:rPr>
        <w:t>Civilization</w:t>
      </w:r>
      <w:r w:rsidRPr="00391C31">
        <w:rPr>
          <w:rFonts w:ascii="Times New Roman" w:hAnsi="Times New Roman" w:cs="Times New Roman"/>
          <w:sz w:val="20"/>
          <w:szCs w:val="20"/>
        </w:rPr>
        <w:t>, 73, 81, 84.</w:t>
      </w:r>
    </w:p>
  </w:footnote>
  <w:footnote w:id="17">
    <w:p w14:paraId="7D4F34C2" w14:textId="77777777" w:rsidR="00C531F2" w:rsidRDefault="00DE1F4F">
      <w:pPr>
        <w:spacing w:line="276" w:lineRule="auto"/>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Gilson, </w:t>
      </w:r>
      <w:r w:rsidRPr="00391C31">
        <w:rPr>
          <w:rFonts w:ascii="Times New Roman" w:hAnsi="Times New Roman" w:cs="Times New Roman"/>
          <w:i/>
          <w:sz w:val="20"/>
          <w:szCs w:val="20"/>
        </w:rPr>
        <w:t>Aristotle</w:t>
      </w:r>
      <w:r w:rsidRPr="00391C31">
        <w:rPr>
          <w:rFonts w:ascii="Times New Roman" w:hAnsi="Times New Roman" w:cs="Times New Roman"/>
          <w:sz w:val="20"/>
          <w:szCs w:val="20"/>
        </w:rPr>
        <w:t>, 153.</w:t>
      </w:r>
    </w:p>
  </w:footnote>
  <w:footnote w:id="18">
    <w:p w14:paraId="62A7E1B2"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Coomaraswamy, </w:t>
      </w:r>
      <w:r w:rsidRPr="00391C31">
        <w:rPr>
          <w:rFonts w:ascii="Times New Roman" w:hAnsi="Times New Roman" w:cs="Times New Roman"/>
          <w:i/>
          <w:sz w:val="20"/>
          <w:szCs w:val="20"/>
        </w:rPr>
        <w:t>Civiliz</w:t>
      </w:r>
      <w:r w:rsidRPr="00391C31">
        <w:rPr>
          <w:rFonts w:ascii="Times New Roman" w:hAnsi="Times New Roman" w:cs="Times New Roman"/>
          <w:i/>
          <w:sz w:val="20"/>
          <w:szCs w:val="20"/>
        </w:rPr>
        <w:t>ation</w:t>
      </w:r>
      <w:r w:rsidRPr="00391C31">
        <w:rPr>
          <w:rFonts w:ascii="Times New Roman" w:hAnsi="Times New Roman" w:cs="Times New Roman"/>
          <w:sz w:val="20"/>
          <w:szCs w:val="20"/>
        </w:rPr>
        <w:t>,</w:t>
      </w:r>
      <w:r w:rsidRPr="00391C31">
        <w:rPr>
          <w:rFonts w:ascii="Times New Roman" w:hAnsi="Times New Roman" w:cs="Times New Roman"/>
          <w:i/>
          <w:sz w:val="20"/>
          <w:szCs w:val="20"/>
        </w:rPr>
        <w:t xml:space="preserve"> </w:t>
      </w:r>
      <w:r w:rsidRPr="00391C31">
        <w:rPr>
          <w:rFonts w:ascii="Times New Roman" w:hAnsi="Times New Roman" w:cs="Times New Roman"/>
          <w:sz w:val="20"/>
          <w:szCs w:val="20"/>
        </w:rPr>
        <w:t>73.</w:t>
      </w:r>
    </w:p>
  </w:footnote>
  <w:footnote w:id="19">
    <w:p w14:paraId="5D8A672B"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Quoted in Coomaraswamy, </w:t>
      </w:r>
      <w:r w:rsidRPr="00391C31">
        <w:rPr>
          <w:rFonts w:ascii="Times New Roman" w:hAnsi="Times New Roman" w:cs="Times New Roman"/>
          <w:i/>
          <w:sz w:val="20"/>
          <w:szCs w:val="20"/>
        </w:rPr>
        <w:t>Civilization</w:t>
      </w:r>
      <w:r w:rsidRPr="00391C31">
        <w:rPr>
          <w:rFonts w:ascii="Times New Roman" w:hAnsi="Times New Roman" w:cs="Times New Roman"/>
          <w:sz w:val="20"/>
          <w:szCs w:val="20"/>
        </w:rPr>
        <w:t>, 81.</w:t>
      </w:r>
    </w:p>
  </w:footnote>
  <w:footnote w:id="20">
    <w:p w14:paraId="21A4BFFA"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Coomaraswamy, </w:t>
      </w:r>
      <w:r w:rsidRPr="00391C31">
        <w:rPr>
          <w:rFonts w:ascii="Times New Roman" w:hAnsi="Times New Roman" w:cs="Times New Roman"/>
          <w:i/>
          <w:sz w:val="20"/>
          <w:szCs w:val="20"/>
        </w:rPr>
        <w:t>Civilization</w:t>
      </w:r>
      <w:r w:rsidRPr="00391C31">
        <w:rPr>
          <w:rFonts w:ascii="Times New Roman" w:hAnsi="Times New Roman" w:cs="Times New Roman"/>
          <w:sz w:val="20"/>
          <w:szCs w:val="20"/>
        </w:rPr>
        <w:t>, 73–74.</w:t>
      </w:r>
    </w:p>
  </w:footnote>
  <w:footnote w:id="21">
    <w:p w14:paraId="4865AE1D"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Swift, </w:t>
      </w:r>
      <w:r w:rsidRPr="00391C31">
        <w:rPr>
          <w:rFonts w:ascii="Times New Roman" w:hAnsi="Times New Roman" w:cs="Times New Roman"/>
          <w:i/>
          <w:sz w:val="20"/>
          <w:szCs w:val="20"/>
        </w:rPr>
        <w:t>Evolution</w:t>
      </w:r>
      <w:r w:rsidRPr="00391C31">
        <w:rPr>
          <w:rFonts w:ascii="Times New Roman" w:hAnsi="Times New Roman" w:cs="Times New Roman"/>
          <w:sz w:val="20"/>
          <w:szCs w:val="20"/>
        </w:rPr>
        <w:t>, 59.</w:t>
      </w:r>
    </w:p>
  </w:footnote>
  <w:footnote w:id="22">
    <w:p w14:paraId="7FD575A2"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MacNeill, Allen, </w:t>
      </w:r>
      <w:r w:rsidRPr="00391C31">
        <w:rPr>
          <w:rFonts w:ascii="Times New Roman" w:hAnsi="Times New Roman" w:cs="Times New Roman"/>
          <w:i/>
          <w:sz w:val="20"/>
          <w:szCs w:val="20"/>
        </w:rPr>
        <w:t>The Platonic Roots of Intelligent Design Theory</w:t>
      </w:r>
      <w:r w:rsidRPr="00391C31">
        <w:rPr>
          <w:rFonts w:ascii="Times New Roman" w:hAnsi="Times New Roman" w:cs="Times New Roman"/>
          <w:sz w:val="20"/>
          <w:szCs w:val="20"/>
        </w:rPr>
        <w:t xml:space="preserve"> (2006)</w:t>
      </w:r>
      <w:r w:rsidRPr="00391C31">
        <w:rPr>
          <w:rFonts w:ascii="Times New Roman" w:hAnsi="Times New Roman" w:cs="Times New Roman"/>
          <w:sz w:val="20"/>
          <w:szCs w:val="20"/>
        </w:rPr>
        <w:t>. www.evolutionlist.</w:t>
      </w:r>
    </w:p>
    <w:p w14:paraId="3B0EC5A8" w14:textId="77777777" w:rsidR="00C531F2" w:rsidRPr="00391C31" w:rsidRDefault="00DE1F4F">
      <w:pPr>
        <w:spacing w:line="276" w:lineRule="auto"/>
        <w:rPr>
          <w:rFonts w:ascii="Times New Roman" w:hAnsi="Times New Roman" w:cs="Times New Roman"/>
          <w:sz w:val="20"/>
          <w:szCs w:val="20"/>
        </w:rPr>
      </w:pPr>
      <w:r w:rsidRPr="00391C31">
        <w:rPr>
          <w:rFonts w:ascii="Times New Roman" w:hAnsi="Times New Roman" w:cs="Times New Roman"/>
          <w:sz w:val="20"/>
          <w:szCs w:val="20"/>
        </w:rPr>
        <w:t>blogspot.com/2006/02/platonic-roots-of-intelligent-design.html.</w:t>
      </w:r>
    </w:p>
  </w:footnote>
  <w:footnote w:id="23">
    <w:p w14:paraId="40C196F9" w14:textId="77777777" w:rsidR="00C531F2" w:rsidRDefault="00DE1F4F">
      <w:pPr>
        <w:spacing w:line="276" w:lineRule="auto"/>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Van Till, </w:t>
      </w:r>
      <w:r w:rsidRPr="00391C31">
        <w:rPr>
          <w:rFonts w:ascii="Times New Roman" w:hAnsi="Times New Roman" w:cs="Times New Roman"/>
          <w:i/>
          <w:sz w:val="20"/>
          <w:szCs w:val="20"/>
        </w:rPr>
        <w:t>Integrity</w:t>
      </w:r>
      <w:r w:rsidRPr="00391C31">
        <w:rPr>
          <w:rFonts w:ascii="Times New Roman" w:hAnsi="Times New Roman" w:cs="Times New Roman"/>
          <w:sz w:val="20"/>
          <w:szCs w:val="20"/>
        </w:rPr>
        <w:t>.</w:t>
      </w:r>
    </w:p>
  </w:footnote>
  <w:footnote w:id="24">
    <w:p w14:paraId="5DC9993C"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I.P. Sheldon-Williams, “The Greek Christian Platonist Tradition from the Cappadocians to Maximus and </w:t>
      </w:r>
      <w:proofErr w:type="spellStart"/>
      <w:r w:rsidRPr="00391C31">
        <w:rPr>
          <w:rFonts w:ascii="Times New Roman" w:hAnsi="Times New Roman" w:cs="Times New Roman"/>
          <w:sz w:val="20"/>
          <w:szCs w:val="20"/>
        </w:rPr>
        <w:t>Eriugena</w:t>
      </w:r>
      <w:proofErr w:type="spellEnd"/>
      <w:r w:rsidRPr="00391C31">
        <w:rPr>
          <w:rFonts w:ascii="Times New Roman" w:hAnsi="Times New Roman" w:cs="Times New Roman"/>
          <w:sz w:val="20"/>
          <w:szCs w:val="20"/>
        </w:rPr>
        <w:t xml:space="preserve">,” in </w:t>
      </w:r>
      <w:r w:rsidRPr="00391C31">
        <w:rPr>
          <w:rFonts w:ascii="Times New Roman" w:hAnsi="Times New Roman" w:cs="Times New Roman"/>
          <w:i/>
          <w:sz w:val="20"/>
          <w:szCs w:val="20"/>
        </w:rPr>
        <w:t>The Cambridge History of Later Greek and Early Medie</w:t>
      </w:r>
      <w:r w:rsidRPr="00391C31">
        <w:rPr>
          <w:rFonts w:ascii="Times New Roman" w:hAnsi="Times New Roman" w:cs="Times New Roman"/>
          <w:i/>
          <w:sz w:val="20"/>
          <w:szCs w:val="20"/>
        </w:rPr>
        <w:t>val Philosophy</w:t>
      </w:r>
      <w:r w:rsidRPr="00391C31">
        <w:rPr>
          <w:rFonts w:ascii="Times New Roman" w:hAnsi="Times New Roman" w:cs="Times New Roman"/>
          <w:sz w:val="20"/>
          <w:szCs w:val="20"/>
        </w:rPr>
        <w:t>, ed. A.H. Armstrong (London: Cambridge University Press, 1967), 431.</w:t>
      </w:r>
    </w:p>
  </w:footnote>
  <w:footnote w:id="25">
    <w:p w14:paraId="1A087747"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Quoted in Coomaraswamy, </w:t>
      </w:r>
      <w:r w:rsidRPr="00391C31">
        <w:rPr>
          <w:rFonts w:ascii="Times New Roman" w:hAnsi="Times New Roman" w:cs="Times New Roman"/>
          <w:i/>
          <w:sz w:val="20"/>
          <w:szCs w:val="20"/>
        </w:rPr>
        <w:t>Civilization</w:t>
      </w:r>
      <w:r w:rsidRPr="00391C31">
        <w:rPr>
          <w:rFonts w:ascii="Times New Roman" w:hAnsi="Times New Roman" w:cs="Times New Roman"/>
          <w:sz w:val="20"/>
          <w:szCs w:val="20"/>
        </w:rPr>
        <w:t>, 83.</w:t>
      </w:r>
    </w:p>
  </w:footnote>
  <w:footnote w:id="26">
    <w:p w14:paraId="51D4A886"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Coomaraswamy, </w:t>
      </w:r>
      <w:r w:rsidRPr="00391C31">
        <w:rPr>
          <w:rFonts w:ascii="Times New Roman" w:hAnsi="Times New Roman" w:cs="Times New Roman"/>
          <w:i/>
          <w:sz w:val="20"/>
          <w:szCs w:val="20"/>
        </w:rPr>
        <w:t>Civilization</w:t>
      </w:r>
      <w:r w:rsidRPr="00391C31">
        <w:rPr>
          <w:rFonts w:ascii="Times New Roman" w:hAnsi="Times New Roman" w:cs="Times New Roman"/>
          <w:sz w:val="20"/>
          <w:szCs w:val="20"/>
        </w:rPr>
        <w:t>, 74–75, 79.</w:t>
      </w:r>
    </w:p>
  </w:footnote>
  <w:footnote w:id="27">
    <w:p w14:paraId="6651EC54" w14:textId="77777777" w:rsidR="00C531F2" w:rsidRDefault="00DE1F4F">
      <w:pPr>
        <w:spacing w:line="276" w:lineRule="auto"/>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w:t>
      </w:r>
      <w:proofErr w:type="spellStart"/>
      <w:r w:rsidRPr="00391C31">
        <w:rPr>
          <w:rFonts w:ascii="Times New Roman" w:hAnsi="Times New Roman" w:cs="Times New Roman"/>
          <w:sz w:val="20"/>
          <w:szCs w:val="20"/>
        </w:rPr>
        <w:t>Cutsinger</w:t>
      </w:r>
      <w:proofErr w:type="spellEnd"/>
      <w:r w:rsidRPr="00391C31">
        <w:rPr>
          <w:rFonts w:ascii="Times New Roman" w:hAnsi="Times New Roman" w:cs="Times New Roman"/>
          <w:sz w:val="20"/>
          <w:szCs w:val="20"/>
        </w:rPr>
        <w:t xml:space="preserve">, </w:t>
      </w:r>
      <w:r w:rsidRPr="00391C31">
        <w:rPr>
          <w:rFonts w:ascii="Times New Roman" w:hAnsi="Times New Roman" w:cs="Times New Roman"/>
          <w:i/>
          <w:sz w:val="20"/>
          <w:szCs w:val="20"/>
        </w:rPr>
        <w:t>Earth</w:t>
      </w:r>
      <w:r w:rsidRPr="00391C31">
        <w:rPr>
          <w:rFonts w:ascii="Times New Roman" w:hAnsi="Times New Roman" w:cs="Times New Roman"/>
          <w:sz w:val="20"/>
          <w:szCs w:val="20"/>
        </w:rPr>
        <w:t>, 16.</w:t>
      </w:r>
    </w:p>
  </w:footnote>
  <w:footnote w:id="28">
    <w:p w14:paraId="6FE42F93"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w:t>
      </w:r>
      <w:r w:rsidRPr="00391C31">
        <w:rPr>
          <w:rFonts w:ascii="Times New Roman" w:hAnsi="Times New Roman" w:cs="Times New Roman"/>
          <w:i/>
          <w:iCs/>
          <w:sz w:val="20"/>
          <w:szCs w:val="20"/>
        </w:rPr>
        <w:t>Ibid</w:t>
      </w:r>
      <w:r w:rsidRPr="00391C31">
        <w:rPr>
          <w:rFonts w:ascii="Times New Roman" w:hAnsi="Times New Roman" w:cs="Times New Roman"/>
          <w:sz w:val="20"/>
          <w:szCs w:val="20"/>
        </w:rPr>
        <w:t>., 18.</w:t>
      </w:r>
    </w:p>
  </w:footnote>
  <w:footnote w:id="29">
    <w:p w14:paraId="20020B2C" w14:textId="77777777" w:rsidR="00C531F2" w:rsidRPr="00391C31" w:rsidRDefault="00DE1F4F">
      <w:pPr>
        <w:spacing w:line="276" w:lineRule="auto"/>
        <w:rPr>
          <w:rFonts w:ascii="Times New Roman" w:hAnsi="Times New Roman" w:cs="Times New Roman"/>
          <w:sz w:val="20"/>
          <w:szCs w:val="20"/>
        </w:rPr>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McKirahan, Richard D., </w:t>
      </w:r>
      <w:r w:rsidRPr="00391C31">
        <w:rPr>
          <w:rFonts w:ascii="Times New Roman" w:hAnsi="Times New Roman" w:cs="Times New Roman"/>
          <w:i/>
          <w:sz w:val="20"/>
          <w:szCs w:val="20"/>
        </w:rPr>
        <w:t>Philosophy before Socrate</w:t>
      </w:r>
      <w:r w:rsidRPr="00391C31">
        <w:rPr>
          <w:rFonts w:ascii="Times New Roman" w:hAnsi="Times New Roman" w:cs="Times New Roman"/>
          <w:i/>
          <w:sz w:val="20"/>
          <w:szCs w:val="20"/>
        </w:rPr>
        <w:t xml:space="preserve">s. An Introduction with Texts and Commentary </w:t>
      </w:r>
      <w:r w:rsidRPr="00391C31">
        <w:rPr>
          <w:rFonts w:ascii="Times New Roman" w:hAnsi="Times New Roman" w:cs="Times New Roman"/>
          <w:sz w:val="20"/>
          <w:szCs w:val="20"/>
        </w:rPr>
        <w:t>(Indianapolis, IN: Hackett Publishing, 1994), 344.</w:t>
      </w:r>
    </w:p>
  </w:footnote>
  <w:footnote w:id="30">
    <w:p w14:paraId="097358B3" w14:textId="77777777" w:rsidR="00C531F2" w:rsidRDefault="00DE1F4F">
      <w:pPr>
        <w:spacing w:line="276" w:lineRule="auto"/>
      </w:pPr>
      <w:r w:rsidRPr="00391C31">
        <w:rPr>
          <w:rStyle w:val="FootnoteCharacters"/>
          <w:rFonts w:ascii="Times New Roman" w:hAnsi="Times New Roman" w:cs="Times New Roman"/>
          <w:sz w:val="20"/>
          <w:szCs w:val="20"/>
        </w:rPr>
        <w:footnoteRef/>
      </w:r>
      <w:r w:rsidRPr="00391C31">
        <w:rPr>
          <w:rFonts w:ascii="Times New Roman" w:hAnsi="Times New Roman" w:cs="Times New Roman"/>
          <w:sz w:val="20"/>
          <w:szCs w:val="20"/>
        </w:rPr>
        <w:t xml:space="preserve"> </w:t>
      </w:r>
      <w:proofErr w:type="spellStart"/>
      <w:r w:rsidRPr="00391C31">
        <w:rPr>
          <w:rFonts w:ascii="Times New Roman" w:hAnsi="Times New Roman" w:cs="Times New Roman"/>
          <w:sz w:val="20"/>
          <w:szCs w:val="20"/>
        </w:rPr>
        <w:t>Cutsinger</w:t>
      </w:r>
      <w:proofErr w:type="spellEnd"/>
      <w:r w:rsidRPr="00391C31">
        <w:rPr>
          <w:rFonts w:ascii="Times New Roman" w:hAnsi="Times New Roman" w:cs="Times New Roman"/>
          <w:sz w:val="20"/>
          <w:szCs w:val="20"/>
        </w:rPr>
        <w:t xml:space="preserve">, </w:t>
      </w:r>
      <w:r w:rsidRPr="00391C31">
        <w:rPr>
          <w:rFonts w:ascii="Times New Roman" w:hAnsi="Times New Roman" w:cs="Times New Roman"/>
          <w:i/>
          <w:sz w:val="20"/>
          <w:szCs w:val="20"/>
        </w:rPr>
        <w:t>Earth</w:t>
      </w:r>
      <w:r w:rsidRPr="00391C31">
        <w:rPr>
          <w:rFonts w:ascii="Times New Roman" w:hAnsi="Times New Roman" w:cs="Times New Roman"/>
          <w:sz w:val="20"/>
          <w:szCs w:val="20"/>
        </w:rPr>
        <w:t>, 13.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F2"/>
    <w:rsid w:val="00391C31"/>
    <w:rsid w:val="00C531F2"/>
    <w:rsid w:val="00DE1F4F"/>
    <w:rsid w:val="00F53B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F666E"/>
  <w15:docId w15:val="{9EBB06F6-40D1-4F49-95B5-7C09E4D9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lang/>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ind w:left="339" w:hanging="339"/>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Wynand De Beer</dc:creator>
  <dc:description/>
  <cp:lastModifiedBy>Wynand De Beer</cp:lastModifiedBy>
  <cp:revision>2</cp:revision>
  <dcterms:created xsi:type="dcterms:W3CDTF">2022-05-15T10:43:00Z</dcterms:created>
  <dcterms:modified xsi:type="dcterms:W3CDTF">2022-05-15T10:43:00Z</dcterms:modified>
  <dc:language>en-GB</dc:language>
</cp:coreProperties>
</file>