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1B2A7E" w14:textId="77777777" w:rsidR="007873AB" w:rsidRDefault="007873AB" w:rsidP="007873AB">
      <w:pPr>
        <w:spacing w:line="480" w:lineRule="auto"/>
      </w:pPr>
      <w:r>
        <w:tab/>
      </w:r>
    </w:p>
    <w:p w14:paraId="6739E6E8" w14:textId="77777777" w:rsidR="007873AB" w:rsidRDefault="007873AB" w:rsidP="007873AB">
      <w:pPr>
        <w:spacing w:line="480" w:lineRule="auto"/>
      </w:pPr>
      <w:r>
        <w:tab/>
      </w:r>
      <w:r>
        <w:tab/>
      </w:r>
      <w:r>
        <w:tab/>
      </w:r>
      <w:r>
        <w:tab/>
      </w:r>
      <w:r>
        <w:tab/>
        <w:t>Ibn ul ‘Arabi</w:t>
      </w:r>
    </w:p>
    <w:p w14:paraId="335C48E5" w14:textId="77777777" w:rsidR="007873AB" w:rsidRDefault="007873AB" w:rsidP="007873AB">
      <w:pPr>
        <w:spacing w:line="480" w:lineRule="auto"/>
      </w:pPr>
      <w:r>
        <w:tab/>
      </w:r>
      <w:r>
        <w:tab/>
      </w:r>
      <w:r>
        <w:tab/>
        <w:t>(Whoso knoweth himself knoweth his Lord)</w:t>
      </w:r>
    </w:p>
    <w:p w14:paraId="76655846" w14:textId="77777777" w:rsidR="007873AB" w:rsidRDefault="007873AB" w:rsidP="007873AB">
      <w:pPr>
        <w:spacing w:line="480" w:lineRule="auto"/>
      </w:pPr>
    </w:p>
    <w:p w14:paraId="28F86287" w14:textId="0C2E93E5" w:rsidR="007873AB" w:rsidRDefault="007873AB" w:rsidP="007873AB">
      <w:pPr>
        <w:spacing w:line="480" w:lineRule="auto"/>
      </w:pPr>
      <w:r>
        <w:tab/>
        <w:t>Most of the commentators on Ibn Arabi say</w:t>
      </w:r>
      <w:r w:rsidR="005517F2">
        <w:t xml:space="preserve"> that he is cryptic in his work</w:t>
      </w:r>
      <w:bookmarkStart w:id="0" w:name="_GoBack"/>
      <w:bookmarkEnd w:id="0"/>
      <w:r>
        <w:t xml:space="preserve">. Nevertheless, nobody denies his importance as an influential Sufi. Some consider him an  heretic while others a saint. There is a story told by Sheikh Muzaffer Ozak al-Jerrahi that is at the end of the </w:t>
      </w:r>
      <w:r>
        <w:rPr>
          <w:i/>
        </w:rPr>
        <w:t>Futuhat al-Makkiyya</w:t>
      </w:r>
      <w:r>
        <w:t>, a book written by Ibn ‘Arabi, about a Sheikh who was teaching canonical law in a very orthodox atmosphere. One of the students asks him if heretic (</w:t>
      </w:r>
      <w:r>
        <w:rPr>
          <w:i/>
        </w:rPr>
        <w:t>zindiq</w:t>
      </w:r>
      <w:r>
        <w:t>), which they where studying, was someone like Ibn ‘Arabi? The Sheikh responded yes. This happened during Ramadan, the month of fasting. During the dinner, before they broke the fast one of the students asked the Sheikh, “who is the greatest saint?” The Sheikh responded, “Ibn ‘Arabi”. The students argued that some hours earlier he had said that Ibn ‘Arabi was a heretic. The Sheikh said, “At the school we are among men of orthodoxy, scholars and legists; here we are among men of love.”</w:t>
      </w:r>
      <w:r>
        <w:rPr>
          <w:rStyle w:val="Refdenotaalfinal"/>
        </w:rPr>
        <w:endnoteReference w:id="1"/>
      </w:r>
      <w:r>
        <w:t xml:space="preserve"> This story supposedly happened while Ibn ‘Arabi was alive. The point is that Ibn ‘Arabi’s philosophy, and the man himself are very controversial. He seems to stand between the rapture of the early Sufi mystics and orthodox Islam. </w:t>
      </w:r>
    </w:p>
    <w:p w14:paraId="5BE89A80" w14:textId="77777777" w:rsidR="007873AB" w:rsidRDefault="007873AB" w:rsidP="007873AB">
      <w:pPr>
        <w:spacing w:line="480" w:lineRule="auto"/>
      </w:pPr>
      <w:r>
        <w:tab/>
        <w:t>Ibn ‘Arabi created a philosophy that gave coherence to the mystical rapture of the early Sufis. He created a philosophy that put Sufism in the same category of discourse, if not superior, to the other schools of Islam. His philosophy not only included an intricate system of interpretation of the law, but at the same time included the mystical experiences of direct contact with God (</w:t>
      </w:r>
      <w:r>
        <w:rPr>
          <w:i/>
        </w:rPr>
        <w:t>Allah</w:t>
      </w:r>
      <w:r>
        <w:t>), or the Real.</w:t>
      </w:r>
    </w:p>
    <w:p w14:paraId="057C08F4" w14:textId="77777777" w:rsidR="007873AB" w:rsidRDefault="007873AB" w:rsidP="007873AB">
      <w:pPr>
        <w:spacing w:line="480" w:lineRule="auto"/>
      </w:pPr>
      <w:r>
        <w:lastRenderedPageBreak/>
        <w:tab/>
        <w:t xml:space="preserve">Western studies tend to classify him as a mystical philosopher, but we have to be careful with this ascription. What he seemed to have believed is that reason is just another manifestation of the One. Reason is just another expression of the divine, as is everything for Ibn ‘Arabi. Eric Winkel says in his translation of </w:t>
      </w:r>
      <w:r>
        <w:rPr>
          <w:u w:val="single"/>
        </w:rPr>
        <w:t>The mysteries of Purity</w:t>
      </w:r>
      <w:r>
        <w:t xml:space="preserve"> that, “The various languages of Islamic sciences were all appropriated by Ibn ‘Arabi as vehicles to convey the ineffable. He used them all to communicate his divinely bestowed visions and insights, including pre-Islamic and post-Islamic poetic themes, folk Islam, Islamic and Greek metaphysics, scholastic theology (</w:t>
      </w:r>
      <w:r>
        <w:rPr>
          <w:i/>
        </w:rPr>
        <w:t>kalam</w:t>
      </w:r>
      <w:r>
        <w:t>), Hellenistic and post-Hellenistic hermetic sciences (astrology, alchemy, and magic), Gnosticism, Shi ‘ism, Islamic law, and...Sufi thought”</w:t>
      </w:r>
      <w:r>
        <w:rPr>
          <w:rStyle w:val="Refdenotaalfinal"/>
        </w:rPr>
        <w:endnoteReference w:id="2"/>
      </w:r>
      <w:r>
        <w:t xml:space="preserve"> Reason is just another form of the divine.</w:t>
      </w:r>
    </w:p>
    <w:p w14:paraId="02703410" w14:textId="77777777" w:rsidR="007873AB" w:rsidRDefault="007873AB" w:rsidP="007873AB">
      <w:pPr>
        <w:spacing w:line="480" w:lineRule="auto"/>
      </w:pPr>
      <w:r>
        <w:tab/>
        <w:t>The whole tradition of genuine philosophical writing in Islam can be traced to Abu Yusuf Ya ‘qub al-Kindi around the year 866 a.d.</w:t>
      </w:r>
      <w:r>
        <w:rPr>
          <w:rStyle w:val="Refdenotaalfinal"/>
        </w:rPr>
        <w:endnoteReference w:id="3"/>
      </w:r>
      <w:r>
        <w:t xml:space="preserve"> He believed that the truth of God is not different than the truth of philosophy. Certainly he was attacked by the orthodox, but in his book </w:t>
      </w:r>
      <w:r>
        <w:rPr>
          <w:u w:val="single"/>
        </w:rPr>
        <w:t>Exhortation to Study Philosophy</w:t>
      </w:r>
      <w:r>
        <w:t>, he argues that, “the reader [the philosopher] must seek the truth from ‘what ever source it has [emanated], even if it should emanate from races distant from us and nations different from us. For nothing is more fitting for the seeker than [the pursuit] of truth itself.”</w:t>
      </w:r>
      <w:r>
        <w:rPr>
          <w:rStyle w:val="Refdenotaalfinal"/>
        </w:rPr>
        <w:endnoteReference w:id="4"/>
      </w:r>
      <w:r>
        <w:t xml:space="preserve"> The orthodox on the other hand like the famous jurist Madinah said very explicitly that, “believing in it [Islam] is a religious obligation and questioning it is a heresy.”</w:t>
      </w:r>
      <w:r>
        <w:rPr>
          <w:rStyle w:val="Refdenotaalfinal"/>
        </w:rPr>
        <w:endnoteReference w:id="5"/>
      </w:r>
      <w:r>
        <w:t xml:space="preserve"> The same type of people have always existed in the realms of religion, those who believe by faith and those who know, or seek it. Ibn ‘Arabi says “ If a gnostic is really a gnostic he cannot stay tied to one form of belief.”</w:t>
      </w:r>
      <w:r>
        <w:rPr>
          <w:rStyle w:val="Refdenotaalfinal"/>
        </w:rPr>
        <w:endnoteReference w:id="6"/>
      </w:r>
      <w:r>
        <w:t xml:space="preserve"> Those who know (gnostics) Ibn ‘Arabi says, know that God manifests in many forms. Each form that God takes is suited to the stage (</w:t>
      </w:r>
      <w:r>
        <w:rPr>
          <w:i/>
        </w:rPr>
        <w:t>maqamat</w:t>
      </w:r>
      <w:r>
        <w:t xml:space="preserve">) in which the seeker is, and can understand. It seems to be that for Ibn ‘Arabi the higher the stage of the Sufi, the less he is attached to a specific form. As the Sufi ‘raises’ in stages, greater is his unity, bigger his understanding of the Unity of God, so greater his love and acceptance for all forms of worship </w:t>
      </w:r>
    </w:p>
    <w:p w14:paraId="2589FEDD" w14:textId="77777777" w:rsidR="007873AB" w:rsidRDefault="007873AB" w:rsidP="007873AB">
      <w:pPr>
        <w:spacing w:line="480" w:lineRule="auto"/>
      </w:pPr>
      <w:r>
        <w:tab/>
        <w:t>Ibn ‘Arabi talks many times about the issue of not limiting oneself to only one belief, he says,</w:t>
      </w:r>
    </w:p>
    <w:p w14:paraId="3A032ED8" w14:textId="77777777" w:rsidR="007873AB" w:rsidRDefault="007873AB" w:rsidP="007873AB">
      <w:r>
        <w:t xml:space="preserve"> “Beware of becoming delimited by a specific knotting and disbelieving in everything else, lest great good escape you.... Be in yourself a matter for the forms of all beliefs, for God is wider and more tremendous than that He should be constricted by one knotting rather than another (Fusus 113). He who counsels his own soul should investigate, during his life in this world, all the doctrines concerning God. He should learn from whence each possessor of a doctrine affirms the validity of his doctrine. Once its validity has been affirmed for him in the specific mode in which it is correct for him who holds it, then he should support it in the case of him who believes in it (II 85. 11). ”</w:t>
      </w:r>
      <w:r>
        <w:rPr>
          <w:rStyle w:val="Refdenotaalfinal"/>
        </w:rPr>
        <w:endnoteReference w:id="7"/>
      </w:r>
      <w:r>
        <w:t xml:space="preserve">  </w:t>
      </w:r>
    </w:p>
    <w:p w14:paraId="2728D4AF" w14:textId="77777777" w:rsidR="007873AB" w:rsidRDefault="007873AB" w:rsidP="007873AB"/>
    <w:p w14:paraId="64740A99" w14:textId="77777777" w:rsidR="007873AB" w:rsidRDefault="007873AB" w:rsidP="007873AB">
      <w:pPr>
        <w:spacing w:line="480" w:lineRule="auto"/>
      </w:pPr>
      <w:r>
        <w:tab/>
        <w:t>To understand Ibn ‘Arabi’s thought two points already mentioned are essential. One, that he believes himself a gnostic (‘</w:t>
      </w:r>
      <w:r>
        <w:rPr>
          <w:i/>
        </w:rPr>
        <w:t>arif</w:t>
      </w:r>
      <w:r>
        <w:t xml:space="preserve">). The second and most crucial point is that his philosophy, his patterns of thought, are radically different from our accustomed ‘platonic’ trend of thought. I will go in detail to explain this point, and then show how Ibn ‘Arabi constructed his philosophy based on this “different” ontological conception of reality. Without going into detail, the main difference in trend of thought between the West and the East is that the West thinks in terms of things having intrinsic reality. The East, from where the concept of the zero arose, have had philosophical, mathematical, and even musical theories around the concept of the zero. For example, in music the concept of ragas, or </w:t>
      </w:r>
      <w:r>
        <w:rPr>
          <w:i/>
        </w:rPr>
        <w:t>maqams</w:t>
      </w:r>
      <w:r>
        <w:t xml:space="preserve"> have a structure that is not fixed, is loose allowing ‘space’ where music flows in a different way than in the Western traditional concepts of music. In the west there is less sliding from note to note, but rather junping. The in-betweens seem not so relevant. </w:t>
      </w:r>
    </w:p>
    <w:p w14:paraId="52C7854B" w14:textId="77777777" w:rsidR="007873AB" w:rsidRDefault="007873AB" w:rsidP="007873AB">
      <w:pPr>
        <w:spacing w:line="480" w:lineRule="auto"/>
        <w:ind w:firstLine="720"/>
      </w:pPr>
      <w:r>
        <w:t xml:space="preserve">In the same sense in the realm of mathematics, the zero coming from the East, was a revolutionary concept. The concept of zero for philosophical, or so called rational arguments, could become the custom. This would liberate the mind from its linear, patterns of grammar.  The concept of the zero, molded for the philosophical discourse, could be a revolution in thought, if it would be understood. I agree with Robert Thurman when he says in his book </w:t>
      </w:r>
      <w:r>
        <w:rPr>
          <w:u w:val="single"/>
        </w:rPr>
        <w:t>The Centrist Philosophy of Tibet</w:t>
      </w:r>
      <w:r>
        <w:t xml:space="preserve"> that, “one aspect of our “western renaissance” was our discovery of the hidden treasures of Greek thought. Our second renaissance may now well come from our discovery of the even greater treasures of Asian thought.”</w:t>
      </w:r>
      <w:r>
        <w:rPr>
          <w:rStyle w:val="Refdenotaalfinal"/>
        </w:rPr>
        <w:endnoteReference w:id="8"/>
      </w:r>
      <w:r>
        <w:t xml:space="preserve"> Ibn ‘Arabi’s thought fall in the category of those who if understood would revolutionize western thought, I believe. </w:t>
      </w:r>
    </w:p>
    <w:p w14:paraId="4B5175CC" w14:textId="77777777" w:rsidR="007873AB" w:rsidRDefault="007873AB" w:rsidP="007873AB">
      <w:pPr>
        <w:spacing w:line="480" w:lineRule="auto"/>
      </w:pPr>
      <w:r>
        <w:tab/>
        <w:t xml:space="preserve">The basic trend of thought since Plato, which is a characteristic of western patterns of thought, is that things have a certain in “itself existence”, an intrinsic reality. And, if this reality is not in the material plane, at least they are real in the realm of ideas as Plato would say. Finally, there can be the Idea of ideas, or as Plato put it, the Good. The ‘good’ for Plato was the ‘ultimate’ idea. Somehow, as if all the ideas and things imaginable partook of the Idea of the Good. I have just attempted to give an account of Plato’s argument about his theory of Ideas in less than a paragraph, an impossible task. I suppose that the reader, at least basically, understands Plato’s argument so that I can continue with the subtle philosophical discourse of Ibn ‘Arabi. </w:t>
      </w:r>
    </w:p>
    <w:p w14:paraId="0F20EE00" w14:textId="77777777" w:rsidR="007873AB" w:rsidRDefault="007873AB" w:rsidP="007873AB">
      <w:pPr>
        <w:spacing w:line="480" w:lineRule="auto"/>
      </w:pPr>
      <w:r>
        <w:tab/>
        <w:t xml:space="preserve">For Ibn ‘Arabi </w:t>
      </w:r>
      <w:r>
        <w:rPr>
          <w:i/>
        </w:rPr>
        <w:t xml:space="preserve">wujud </w:t>
      </w:r>
      <w:r>
        <w:t xml:space="preserve">(which is a central concept in his philosophy) doesn’t have a “positive existence”, but it is what gives existence. Without </w:t>
      </w:r>
      <w:r>
        <w:rPr>
          <w:i/>
        </w:rPr>
        <w:t>wujud</w:t>
      </w:r>
      <w:r>
        <w:t xml:space="preserve"> there is no existence, and wujud is not a ‘thing’ giving existence, nor existent in the same category as what we customarily define as existent. We can be remainded of Heidegger’s </w:t>
      </w:r>
      <w:r>
        <w:rPr>
          <w:i/>
        </w:rPr>
        <w:t>Zeist</w:t>
      </w:r>
      <w:r>
        <w:t xml:space="preserve">. To put in another way, </w:t>
      </w:r>
      <w:r>
        <w:rPr>
          <w:i/>
        </w:rPr>
        <w:t>wujud</w:t>
      </w:r>
      <w:r>
        <w:t xml:space="preserve"> is a negative probandum. By a negative probandum I mean a ‘thing’ devoid of intrinsic reality, but existent in the ‘things’ in their manifestation. Ibn ‘Arabi says that light cannot be seen in itself, but only by the objects it is reflected. In the same sense, God can only be seen by reflection on his creation, which is nothing but Himself. </w:t>
      </w:r>
      <w:r>
        <w:rPr>
          <w:b/>
        </w:rPr>
        <w:t xml:space="preserve"> </w:t>
      </w:r>
    </w:p>
    <w:p w14:paraId="7D573623" w14:textId="77777777" w:rsidR="007873AB" w:rsidRDefault="007873AB" w:rsidP="007873AB">
      <w:pPr>
        <w:spacing w:line="480" w:lineRule="auto"/>
      </w:pPr>
      <w:r>
        <w:tab/>
        <w:t>“</w:t>
      </w:r>
      <w:r>
        <w:rPr>
          <w:i/>
        </w:rPr>
        <w:t xml:space="preserve">Wujud </w:t>
      </w:r>
      <w:r>
        <w:t xml:space="preserve">means, ‘finding’ and ‘discovery’, but it has traditionally been translated as ‘being’ or ‘existence’ and then accommodated to a Western philosophical idea of existence. Instead of the Western emphasis on the </w:t>
      </w:r>
      <w:r>
        <w:rPr>
          <w:b/>
        </w:rPr>
        <w:t xml:space="preserve">substance </w:t>
      </w:r>
      <w:r>
        <w:t xml:space="preserve">and of ideas connected with a static concept of being, there is in the Arabic </w:t>
      </w:r>
      <w:r>
        <w:rPr>
          <w:i/>
        </w:rPr>
        <w:t xml:space="preserve">wujud </w:t>
      </w:r>
      <w:r>
        <w:t>a characteristically Semitic quality of dynamism, centered not in the substance or identity of ‘stuff’ but in the unity of perception and being found, a sort of consummation in the relationship.”</w:t>
      </w:r>
      <w:r>
        <w:rPr>
          <w:rStyle w:val="Refdenotaalfinal"/>
        </w:rPr>
        <w:endnoteReference w:id="9"/>
      </w:r>
      <w:r>
        <w:t xml:space="preserve"> The concept of </w:t>
      </w:r>
      <w:r>
        <w:rPr>
          <w:i/>
        </w:rPr>
        <w:t>wahdat al-wujud</w:t>
      </w:r>
      <w:r>
        <w:t>, which is fundamental in Ibn ‘Arabi’s philosophy</w:t>
      </w:r>
      <w:r>
        <w:rPr>
          <w:i/>
        </w:rPr>
        <w:t xml:space="preserve"> </w:t>
      </w:r>
      <w:r>
        <w:t xml:space="preserve">is much more complex and subtler than equating it with ‘Unity of Being’. Moreover, Marijan Mole on </w:t>
      </w:r>
      <w:r>
        <w:rPr>
          <w:u w:val="single"/>
        </w:rPr>
        <w:t>Mystical Dimensions of Islam</w:t>
      </w:r>
      <w:r>
        <w:t xml:space="preserve"> says that, “Arabic, like other Semitic languages, has no verb to express ‘to be’.”</w:t>
      </w:r>
      <w:r>
        <w:rPr>
          <w:rStyle w:val="Refdenotaalfinal"/>
        </w:rPr>
        <w:endnoteReference w:id="10"/>
      </w:r>
      <w:r>
        <w:t xml:space="preserve"> So,  at the end of the path of the Sufi doesn’t arrive to what in the West we have translated as Unity of Being, but to a much subtler concept. The correct translation is not necessarily a ‘unity of being’, but ‘to have found’ this is why in later literature the terms </w:t>
      </w:r>
      <w:r>
        <w:rPr>
          <w:i/>
        </w:rPr>
        <w:t>wahdat al-wujud</w:t>
      </w:r>
      <w:r>
        <w:t xml:space="preserve"> (unity of being) is interchangeable with </w:t>
      </w:r>
      <w:r>
        <w:rPr>
          <w:i/>
        </w:rPr>
        <w:t>wahdatash-shuhud,</w:t>
      </w:r>
      <w:r>
        <w:t xml:space="preserve"> </w:t>
      </w:r>
      <w:r>
        <w:rPr>
          <w:i/>
        </w:rPr>
        <w:t>shuhud</w:t>
      </w:r>
      <w:r>
        <w:t xml:space="preserve"> meaning contemplation.</w:t>
      </w:r>
      <w:r>
        <w:rPr>
          <w:rStyle w:val="Refdenotaalfinal"/>
        </w:rPr>
        <w:endnoteReference w:id="11"/>
      </w:r>
      <w:r>
        <w:t xml:space="preserve"> At the end of the path the Sufi reaches to what could also be translated as contemplation.</w:t>
      </w:r>
    </w:p>
    <w:p w14:paraId="15C4C924" w14:textId="77777777" w:rsidR="007873AB" w:rsidRDefault="007873AB" w:rsidP="007873AB">
      <w:pPr>
        <w:spacing w:line="480" w:lineRule="auto"/>
      </w:pPr>
      <w:r>
        <w:tab/>
        <w:t xml:space="preserve">Chittik also acknowledges the difficulty in the interpretation of the fundamental concept of Ibn ‘Arabi’s philosophy when he writes, “Ibn al- ‘Arabi is most often characterized in Islamic texts as the originator of the doctrine of </w:t>
      </w:r>
      <w:r>
        <w:rPr>
          <w:i/>
        </w:rPr>
        <w:t>wahdat al-wujud</w:t>
      </w:r>
      <w:r>
        <w:t>, the ‘Oneness of Being’ or ‘Unity of Existence’. However, this expression is not found in his works.”</w:t>
      </w:r>
      <w:r>
        <w:rPr>
          <w:rStyle w:val="Refdenotaalfinal"/>
        </w:rPr>
        <w:endnoteReference w:id="12"/>
      </w:r>
      <w:r>
        <w:t xml:space="preserve"> However, we cannot claim that “Oneness of Being” is sufficient description of his ontology, since he affirms the “manyness of reality” with equal vigor.”</w:t>
      </w:r>
      <w:r>
        <w:rPr>
          <w:rStyle w:val="Refdenotaalfinal"/>
        </w:rPr>
        <w:endnoteReference w:id="13"/>
      </w:r>
      <w:r>
        <w:t xml:space="preserve"> So, what is then the correct description of the essential point in Ibn ‘Arabi’s philosophy? To begin to unfold his philosophy we might as well follow his own approach, and go into the root of the words he is using. Ibn ‘Arabi gives such an importance to the word that that is why he sometimes is even considered a literalist.  </w:t>
      </w:r>
    </w:p>
    <w:p w14:paraId="39651743" w14:textId="77777777" w:rsidR="007873AB" w:rsidRDefault="007873AB" w:rsidP="007873AB">
      <w:pPr>
        <w:spacing w:line="480" w:lineRule="auto"/>
      </w:pPr>
      <w:r>
        <w:tab/>
        <w:t xml:space="preserve">Chittik tells us that “the term </w:t>
      </w:r>
      <w:r>
        <w:rPr>
          <w:i/>
        </w:rPr>
        <w:t>wahdat al-wujud</w:t>
      </w:r>
      <w:r>
        <w:t xml:space="preserve">- built from the word </w:t>
      </w:r>
      <w:r>
        <w:rPr>
          <w:i/>
        </w:rPr>
        <w:t>wahda</w:t>
      </w:r>
      <w:r>
        <w:t xml:space="preserve"> (derived from the same root as </w:t>
      </w:r>
      <w:r>
        <w:rPr>
          <w:i/>
        </w:rPr>
        <w:t>tawhid</w:t>
      </w:r>
      <w:r>
        <w:t>, the “assertion of unity” that is taken as the first principle of Islam) and from a second word that delineates the central concern of philosophy- alerts us to the fact that we are dealing with a synthesis of the religious and philosophical traditions.”</w:t>
      </w:r>
      <w:r>
        <w:rPr>
          <w:rStyle w:val="Refdenotaalfinal"/>
        </w:rPr>
        <w:endnoteReference w:id="14"/>
      </w:r>
      <w:r>
        <w:t xml:space="preserve"> I am not exactly sure how does Chittik gets to the conclusion that Ibn ‘Arabi is referring to a synthesis of religious and philosophical traditions, but the conclusion might make sense due to the fact that Rumi, a contemporary of Ibn ‘Arabi reminds us in various of his poems the “unity”, or validity of the various religious practices. </w:t>
      </w:r>
    </w:p>
    <w:p w14:paraId="763A2D1E" w14:textId="77777777" w:rsidR="007873AB" w:rsidRDefault="007873AB" w:rsidP="007873AB">
      <w:pPr>
        <w:spacing w:line="480" w:lineRule="auto"/>
      </w:pPr>
      <w:r>
        <w:tab/>
        <w:t>The difficulty in explaining Ibn ‘Arabi is that what he means by God, or Ultimate Reality is not a “thing”, nor a nothingness with an intrinsic reality as nothingness. Ibn ‘Arabi says, “For thou art other than existent nor other than non-existent. Thy existence and thy non-existence are His existence.” What Ibn ‘Arabi refers to is a subtle concept, “this saying (</w:t>
      </w:r>
      <w:r>
        <w:rPr>
          <w:i/>
        </w:rPr>
        <w:t>luqmah</w:t>
      </w:r>
      <w:r>
        <w:t>) is only for him who has a nature wider than the two worlds [of existence and non-existence]. In the ultimate realm existence and non-existence are also transcended. Ibn ‘Arabi considers an error when people say that they have ceased to exist so that they make the ceasing of their existence a condition to know God. Ibn ‘Arabi says that the knowledge of God doesn’t presuppose a ceasing of an existence, “for things have no existence, and what does not exist cannot cease to exist. For the ceasing to be implies the positing of existence, and that is polytheism.”</w:t>
      </w:r>
      <w:r>
        <w:rPr>
          <w:rStyle w:val="Refdenotaalfinal"/>
        </w:rPr>
        <w:endnoteReference w:id="15"/>
      </w:r>
      <w:r>
        <w:t xml:space="preserve"> We can see that Ibn ‘Arabi’s “non-dualism” is very strict.  </w:t>
      </w:r>
    </w:p>
    <w:p w14:paraId="30E1D88D" w14:textId="77777777" w:rsidR="007873AB" w:rsidRDefault="007873AB" w:rsidP="007873AB">
      <w:pPr>
        <w:spacing w:line="480" w:lineRule="auto"/>
      </w:pPr>
      <w:r>
        <w:tab/>
        <w:t>The question now arises, how do we explain the multiplicity of forms? How do</w:t>
      </w:r>
      <w:r w:rsidR="00A459C7">
        <w:t>e</w:t>
      </w:r>
      <w:r>
        <w:t>s he explain existence, even if it is apparent. Moreover, as I mentioned before Ibn ‘Arabi asserts the “manyness” of reality with equal force as its non-existence. In uniting this seeming contradiction, paradox, and even an absurdity is where his genius lies.</w:t>
      </w:r>
    </w:p>
    <w:p w14:paraId="633D6E6A" w14:textId="77777777" w:rsidR="007873AB" w:rsidRDefault="007873AB" w:rsidP="007873AB">
      <w:pPr>
        <w:spacing w:line="480" w:lineRule="auto"/>
      </w:pPr>
      <w:r>
        <w:t>For Ibn ‘Arabi there is no difference between the world and God. He says quoting the Prophet (upon whom be peace) “revile not the world, for God is the world.”</w:t>
      </w:r>
      <w:r>
        <w:rPr>
          <w:rStyle w:val="Refdenotaalfinal"/>
        </w:rPr>
        <w:endnoteReference w:id="16"/>
      </w:r>
      <w:r>
        <w:t xml:space="preserve"> What we have to be aware is that this words are not meant for the novice. These words make sense according to the stage you are in. These words are meant for the last stages. They don’t make any sense for the novice, and can be detrimental for he who need purification. </w:t>
      </w:r>
    </w:p>
    <w:p w14:paraId="46C1C681" w14:textId="77777777" w:rsidR="007873AB" w:rsidRDefault="007873AB" w:rsidP="007873AB">
      <w:pPr>
        <w:spacing w:line="480" w:lineRule="auto"/>
      </w:pPr>
      <w:r>
        <w:tab/>
        <w:t>To continue with my heroic attempt to interpret his thought I must apology by saying that no clear understanding has been developed from greater scholars and experts than myself. My attempt has justification in that what we have here is a complex philosophical system in the same lines of the most famous Indian and Tibetan style. In India is the great Gordian Knot argument and in Tibet is the Ngyapa, but better known the Madhyamika, school that holds a similar philosophy which Ibn ‘Arabi seems to be expounding in his works. Saraha one of the founders of the Kayiu school of Tibetan philosophy has written “This is the precept taught by Saraha. /Do not discriminate, but see all things as one,/ make no distinctions of clans or castes,/ Let the whole of the universe be as one /...There is neither self or another.../For this joy has no actual thought of another.”</w:t>
      </w:r>
      <w:r>
        <w:rPr>
          <w:rStyle w:val="Refdenotaalfinal"/>
        </w:rPr>
        <w:endnoteReference w:id="17"/>
      </w:r>
      <w:r>
        <w:t xml:space="preserve"> Again I want to say that Thurman might have an important point when he says that the “second renaissance” might come when we discover the treasures of Asian thought. In the West as far as I know Nishitani a contemporary Japanese philosopher is venturing in this similar lines, and the not yet clearly understood Wittgenstein was also hitting similar trends of thought.</w:t>
      </w:r>
    </w:p>
    <w:p w14:paraId="12E90F38" w14:textId="77777777" w:rsidR="007873AB" w:rsidRDefault="007873AB" w:rsidP="007873AB">
      <w:pPr>
        <w:spacing w:line="480" w:lineRule="auto"/>
      </w:pPr>
      <w:r>
        <w:tab/>
        <w:t>Now that the basic concept behind Ibn ‘Arabi is clearer, I will go on to give an account on the different stages the seeker goes through before he reaches the subtle understanding I attempted to explain on the earlier part of this paper.</w:t>
      </w:r>
    </w:p>
    <w:p w14:paraId="11F98E58" w14:textId="77777777" w:rsidR="007873AB" w:rsidRDefault="007873AB" w:rsidP="007873AB">
      <w:pPr>
        <w:spacing w:line="480" w:lineRule="auto"/>
      </w:pPr>
      <w:r>
        <w:tab/>
        <w:t>Ibn Arabi was asked, “How lies the way to union, when thou affirmest that there is no other beside Him, and a thing cannot be united to itself?”</w:t>
      </w:r>
      <w:r>
        <w:rPr>
          <w:rStyle w:val="Refdenotaalfinal"/>
        </w:rPr>
        <w:endnoteReference w:id="18"/>
      </w:r>
      <w:r>
        <w:t xml:space="preserve"> He responded saying, “No doubt there is in reality no union nor division, nor far nor near. For union is not possible except between two, and if there be but one, there can be no union or division.”</w:t>
      </w:r>
      <w:r>
        <w:rPr>
          <w:rStyle w:val="Refdenotaalfinal"/>
        </w:rPr>
        <w:endnoteReference w:id="19"/>
      </w:r>
      <w:r>
        <w:t xml:space="preserve"> So, the questioner continued and asked, “Explain to us this ‘union without union’; and what is the meaning of this ‘nearness without nearness’ and this ‘fairness without fairness’?”</w:t>
      </w:r>
      <w:r>
        <w:rPr>
          <w:rStyle w:val="Refdenotaalfinal"/>
        </w:rPr>
        <w:endnoteReference w:id="20"/>
      </w:r>
      <w:r>
        <w:t xml:space="preserve"> Ibn Arabi answers, “I mean that thou, in thy stages of drawing nigh and of being far off, wast not a thing beside God (whose name be exalted), but thou hadst not the ‘knowledge of the soul,’ and didst not understand that thou art He without thou.”</w:t>
      </w:r>
      <w:r>
        <w:rPr>
          <w:rStyle w:val="Refdenotaalfinal"/>
        </w:rPr>
        <w:endnoteReference w:id="21"/>
      </w:r>
      <w:r>
        <w:t xml:space="preserve"> </w:t>
      </w:r>
    </w:p>
    <w:p w14:paraId="2DD685E2" w14:textId="77777777" w:rsidR="007873AB" w:rsidRDefault="007873AB" w:rsidP="007873AB">
      <w:pPr>
        <w:spacing w:line="480" w:lineRule="auto"/>
      </w:pPr>
      <w:r>
        <w:tab/>
        <w:t xml:space="preserve">On Ibn Arabi’s book </w:t>
      </w:r>
      <w:r>
        <w:rPr>
          <w:u w:val="single"/>
        </w:rPr>
        <w:t xml:space="preserve">Journey to the Lord of Power </w:t>
      </w:r>
      <w:r>
        <w:t xml:space="preserve"> (</w:t>
      </w:r>
      <w:r>
        <w:rPr>
          <w:i/>
        </w:rPr>
        <w:t>Risalat-ul-anwar fima yumnah sahib</w:t>
      </w:r>
      <w:r>
        <w:t xml:space="preserve"> </w:t>
      </w:r>
      <w:r>
        <w:rPr>
          <w:i/>
        </w:rPr>
        <w:t>al-khalva min al-asrar</w:t>
      </w:r>
      <w:r>
        <w:t>); translated literally as, ‘Treatise on the Lights in the Secrets Granted One Who Undertakes Retreat’ edited in Konya in 1204/1205 “was written, as the text makes clear, to answer the questions of an unnamed friend who was himself a saint and Sufi master.”</w:t>
      </w:r>
      <w:r>
        <w:rPr>
          <w:rStyle w:val="Refdenotaalfinal"/>
        </w:rPr>
        <w:endnoteReference w:id="22"/>
      </w:r>
      <w:r>
        <w:t xml:space="preserve"> The text gives detailed advice on the perils of the way. Even though the text doesn’t give any specific advice about diet or breathing; it does give a specific account of the experiences the seeker encounters, a phenomenology of the Sufi stations (</w:t>
      </w:r>
      <w:r>
        <w:rPr>
          <w:i/>
        </w:rPr>
        <w:t>maqamat</w:t>
      </w:r>
      <w:r>
        <w:t xml:space="preserve">). The basic advise though is to go on with whatever form of </w:t>
      </w:r>
      <w:r>
        <w:rPr>
          <w:i/>
        </w:rPr>
        <w:t>dhikr</w:t>
      </w:r>
      <w:r>
        <w:t xml:space="preserve"> (remembrance, recollection) you have chosen. Keep on going until you reach the essence of Reality. Ibn ‘Arabi ends his treatise saying that, “the knower is thirsty forever. And for the likes of this let the workers work, and for the like of this let the contenders contend”</w:t>
      </w:r>
      <w:r>
        <w:rPr>
          <w:rStyle w:val="Refdenotaalfinal"/>
        </w:rPr>
        <w:endnoteReference w:id="23"/>
      </w:r>
      <w:r>
        <w:t xml:space="preserve">, alluding to the final stage of contemplation. In some passage Ibn ‘Arabi says that contemplation is the measurement of knowledge. The exact meaning of </w:t>
      </w:r>
      <w:r>
        <w:rPr>
          <w:i/>
        </w:rPr>
        <w:t>wahdat al-wujud</w:t>
      </w:r>
      <w:r>
        <w:t xml:space="preserve"> I cannot know because I don’t know the exact translation from the Arabic, but according to my earlier discussion on the meaning of the words we can conclude that contemplation, taken as an act comparatively similar to perception, might as well be the final station and the last words for his friend in his </w:t>
      </w:r>
      <w:r>
        <w:rPr>
          <w:u w:val="single"/>
        </w:rPr>
        <w:t>Treatise for those who take a Retreat</w:t>
      </w:r>
      <w:r>
        <w:t xml:space="preserve"> when he says “And for the like of this let the workers work, and for the like of this let the contenders contend....”</w:t>
      </w:r>
      <w:r>
        <w:rPr>
          <w:rStyle w:val="Refdenotaalfinal"/>
        </w:rPr>
        <w:endnoteReference w:id="24"/>
      </w:r>
    </w:p>
    <w:p w14:paraId="19DB069F" w14:textId="77777777" w:rsidR="007873AB" w:rsidRDefault="007873AB" w:rsidP="007873AB">
      <w:pPr>
        <w:spacing w:line="480" w:lineRule="auto"/>
      </w:pPr>
      <w:r>
        <w:tab/>
        <w:t>Ibn “Arabi begins the treaty by telling his friend, “I shall first describe (may Allah grant you success) the nature to Him, then the procedure of arriving and standing before Him, and what He says to you as you sit on the carpet of his vision. Then the nature of the return from Him to the presence (</w:t>
      </w:r>
      <w:r>
        <w:rPr>
          <w:i/>
        </w:rPr>
        <w:t>hadra</w:t>
      </w:r>
      <w:r>
        <w:t>) of his actions: with him and to Him. And I shall describe absorption in Him, which is a station less than the station of return,”</w:t>
      </w:r>
      <w:r>
        <w:rPr>
          <w:rStyle w:val="Refdenotaalfinal"/>
        </w:rPr>
        <w:endnoteReference w:id="25"/>
      </w:r>
      <w:r>
        <w:t xml:space="preserve"> Ibn ‘Arabi gives a clear importance to the station of return. It is in this point where he criticizes al-Hillaj and Bastami. </w:t>
      </w:r>
      <w:r>
        <w:rPr>
          <w:b/>
        </w:rPr>
        <w:t>((note conlas historias de ellos o sus biografias))</w:t>
      </w:r>
      <w:r>
        <w:t xml:space="preserve"> Ibn ‘Arabi seems to suggest that al-Hillaj and Bastami remained in the undifferentiated aspect of God, but didn’t continue on the journey back towards creation. </w:t>
      </w:r>
      <w:r>
        <w:rPr>
          <w:i/>
        </w:rPr>
        <w:t xml:space="preserve">Fana </w:t>
      </w:r>
      <w:r>
        <w:t xml:space="preserve">is the end of the journey towards God, the dissolution of all His attributes. But, </w:t>
      </w:r>
      <w:r>
        <w:rPr>
          <w:i/>
        </w:rPr>
        <w:t>baqa</w:t>
      </w:r>
      <w:r>
        <w:t xml:space="preserve"> is the beginning of man traveling in God. The journey is not complete with </w:t>
      </w:r>
      <w:r>
        <w:rPr>
          <w:i/>
        </w:rPr>
        <w:t>fana</w:t>
      </w:r>
      <w:r>
        <w:t xml:space="preserve">, </w:t>
      </w:r>
      <w:r>
        <w:rPr>
          <w:i/>
        </w:rPr>
        <w:t>baqa</w:t>
      </w:r>
      <w:r>
        <w:t xml:space="preserve"> is the next step, to come back to the manifested. Ibn ‘Arabi incorporated a new step forward in the Sufi mystical experience; the step that pushes the mystic into sobriety, a return from the rapture into the world. Ibn ‘Arabi says somewhere in Chodkiewicz’s book that finally the mystic eats and drinks and gets married, but now he is just a name because inside he is one with the divine. </w:t>
      </w:r>
    </w:p>
    <w:p w14:paraId="0299BB3C" w14:textId="77777777" w:rsidR="007873AB" w:rsidRDefault="007873AB" w:rsidP="007873AB">
      <w:pPr>
        <w:spacing w:line="480" w:lineRule="auto"/>
        <w:ind w:firstLine="720"/>
      </w:pPr>
      <w:r>
        <w:t>This step, in a social level, helped to build a bridge between the Sufi and the lay and orthodox Muslim. Shabistari had mentioned before Ibn ‘Arabi that the perfect man is “he who goes the two fold way: down into the world of phenomena, then upward to the light and divine unity.”</w:t>
      </w:r>
      <w:r>
        <w:rPr>
          <w:rStyle w:val="Refdenotaalfinal"/>
        </w:rPr>
        <w:endnoteReference w:id="26"/>
      </w:r>
      <w:r>
        <w:t xml:space="preserve"> Schimmel says that it was not until Ibn ‘Arabi that “it [concept of sobriety and return] was couched in terminology that would enable it to be understood by the average Sufi.”</w:t>
      </w:r>
      <w:r>
        <w:rPr>
          <w:rStyle w:val="Refdenotaalfinal"/>
        </w:rPr>
        <w:endnoteReference w:id="27"/>
      </w:r>
    </w:p>
    <w:p w14:paraId="5EB0AC7C" w14:textId="77777777" w:rsidR="007873AB" w:rsidRDefault="007873AB" w:rsidP="007873AB">
      <w:pPr>
        <w:spacing w:line="480" w:lineRule="auto"/>
      </w:pPr>
      <w:r>
        <w:tab/>
        <w:t xml:space="preserve">Ibn ‘Arabi says that “the Realms are many, although they are all derived from six.” The first Realm is when, according to Ibn ‘Arabi, the Lord “designated our singularity out of his generosity and kindness.” In the second realm, here on the our physical existence, which is the Realm of trial and error, is the only realm that we should be concern about, because all other realms somehow are dependent on this one. There is an intricate explanation of the realms in the commentaries of the book </w:t>
      </w:r>
      <w:r>
        <w:rPr>
          <w:u w:val="single"/>
        </w:rPr>
        <w:t>Journey to the Lord of Power</w:t>
      </w:r>
      <w:r>
        <w:t>, but Ibn ‘Arabi says that there is no need to describe them. As I have said before, Ibn ‘Arabi cannot be taken in a purely philosophical manner. It is exactly at this point where esoterism filtrates his work.</w:t>
      </w:r>
    </w:p>
    <w:p w14:paraId="3AD5FA06" w14:textId="77777777" w:rsidR="007873AB" w:rsidRDefault="007873AB" w:rsidP="007873AB">
      <w:pPr>
        <w:spacing w:line="480" w:lineRule="auto"/>
      </w:pPr>
      <w:r>
        <w:tab/>
        <w:t>The first advice is that to follow this path, of retreat, the seeker needs to have worked enough in building character through spiritual discipline (</w:t>
      </w:r>
      <w:r>
        <w:rPr>
          <w:i/>
        </w:rPr>
        <w:t>riyada</w:t>
      </w:r>
      <w:r>
        <w:t>). “For if a person is to begin before he has acquired discipline, he will never become a man.”</w:t>
      </w:r>
      <w:r>
        <w:rPr>
          <w:rStyle w:val="Refdenotaalfinal"/>
        </w:rPr>
        <w:endnoteReference w:id="28"/>
      </w:r>
      <w:r>
        <w:t xml:space="preserve"> This means an unwavering desire for God. This treaty is meant for the advance disciple. So that what the disciple gains from this practice is to transform his previous established knowledge (‘</w:t>
      </w:r>
      <w:r>
        <w:rPr>
          <w:i/>
        </w:rPr>
        <w:t>ilm</w:t>
      </w:r>
      <w:r>
        <w:t>) into vision (‘</w:t>
      </w:r>
      <w:r>
        <w:rPr>
          <w:i/>
        </w:rPr>
        <w:t>ayn</w:t>
      </w:r>
      <w:r>
        <w:t>). The second requirement is to choose your own form of remembrance of God (dhikr). Ibn ‘Arabi says that the highest dhikr is the saying of “Allah, Allah” an nothing beyond Allah.</w:t>
      </w:r>
      <w:r>
        <w:rPr>
          <w:rStyle w:val="Refdenotaalfinal"/>
        </w:rPr>
        <w:endnoteReference w:id="29"/>
      </w:r>
      <w:r>
        <w:t xml:space="preserve"> Ibn ‘Arabi recommends to articulate what one intends. He also says that the food should be balanced, and to avoid animal fat. </w:t>
      </w:r>
    </w:p>
    <w:p w14:paraId="3DE59504" w14:textId="77777777" w:rsidR="007873AB" w:rsidRDefault="007873AB" w:rsidP="007873AB">
      <w:pPr>
        <w:spacing w:line="480" w:lineRule="auto"/>
      </w:pPr>
      <w:r>
        <w:tab/>
        <w:t>And then most important, Sheikh Akbar (Ibn ‘Arabi) says that when you are in the station where you see that you are God, you must continue and say, “Far exalted God above that.”</w:t>
      </w:r>
      <w:r>
        <w:rPr>
          <w:rStyle w:val="Refdenotaalfinal"/>
        </w:rPr>
        <w:endnoteReference w:id="30"/>
      </w:r>
      <w:r>
        <w:t xml:space="preserve"> “The second [covenant] is that you will not seek from Him in retreat anything other than Himself and that you will not attach your </w:t>
      </w:r>
      <w:r>
        <w:rPr>
          <w:i/>
        </w:rPr>
        <w:t xml:space="preserve">himma </w:t>
      </w:r>
      <w:r>
        <w:t>[resolution, determination, ardor], the power of the hearts intention, to anything other than Him. And if everything in the universe should be spread before you, receive it graciously-but do not stop there. Persist in your quest, for He is testing you. But if you attain Him, nothing will escape you.”</w:t>
      </w:r>
      <w:r>
        <w:rPr>
          <w:rStyle w:val="Refdenotaalfinal"/>
        </w:rPr>
        <w:endnoteReference w:id="31"/>
      </w:r>
      <w:r>
        <w:t xml:space="preserve"> The intense desire, the longing will do the work as Rumi says somewhere, “it is the intensity of the longing that does all the work.” With these advises the seeker is ready for the journey. Ibn ‘Arabi says that one can do this practice while attending to the world also. This might even be beneficial, because the departure from people is not only to leave their physical company, but their ravings and desires, which can be done amidst the world.</w:t>
      </w:r>
    </w:p>
    <w:p w14:paraId="2B929651" w14:textId="77777777" w:rsidR="007873AB" w:rsidRDefault="007873AB" w:rsidP="007873AB">
      <w:pPr>
        <w:spacing w:line="480" w:lineRule="auto"/>
        <w:rPr>
          <w:b/>
        </w:rPr>
      </w:pPr>
      <w:r>
        <w:tab/>
        <w:t>The first experience is that God manifests himself as the Veiler. With this manifestation the seeker is able to see into peoples secrets. These lines might mean that there is a deeper  perception into human beings, maybe feel their emotions and anguishes. One should continue calling God’s name until the dhikr disappears. Sheikh Akbar says that the dhikr at this point might disappear for two reasons, one is that the person has fallen asleep, an the other because the seeker was absorbed in contemplation. The way to differentiate this two possibilities is that sleep leaves us with a feeling of remorse, while contemplation leaves fresh and rejuvenated. In this station, says Ibn ‘Arabi “you will discover the secrets of the mineral world. You will become acquainted with the secret of every stone and its particular harmful and beneficial qualities.”</w:t>
      </w:r>
      <w:r>
        <w:rPr>
          <w:rStyle w:val="Refdenotaalfinal"/>
        </w:rPr>
        <w:endnoteReference w:id="32"/>
      </w:r>
      <w:r>
        <w:t xml:space="preserve"> Then he says “If you become enamored of this world, it will trap you, and you will be exiled from God.” </w:t>
      </w:r>
      <w:r>
        <w:rPr>
          <w:b/>
        </w:rPr>
        <w:t>This is an interesting quote for me personally, because my father was a jeweler and he would advice me precisely in the same manner. (((sacar esto))</w:t>
      </w:r>
    </w:p>
    <w:p w14:paraId="319D6F6D" w14:textId="77777777" w:rsidR="007873AB" w:rsidRDefault="007873AB" w:rsidP="007873AB">
      <w:pPr>
        <w:spacing w:line="480" w:lineRule="auto"/>
      </w:pPr>
      <w:r>
        <w:tab/>
        <w:t xml:space="preserve">Ibn ‘Arabi says if you continue with the </w:t>
      </w:r>
      <w:r>
        <w:rPr>
          <w:i/>
        </w:rPr>
        <w:t>dhikr</w:t>
      </w:r>
      <w:r>
        <w:t>, and you don’t get entangled in the previous stage the animal world opens up for you. The animals greet you, and you communicate with them. As this world is passed, the life force becomes manifested, and you understand how “the subtle becomes dense and the dense subtle.”</w:t>
      </w:r>
      <w:r>
        <w:rPr>
          <w:rStyle w:val="Refdenotaalfinal"/>
        </w:rPr>
        <w:endnoteReference w:id="33"/>
      </w:r>
      <w:r>
        <w:t xml:space="preserve"> </w:t>
      </w:r>
    </w:p>
    <w:p w14:paraId="7FC885CE" w14:textId="77777777" w:rsidR="007873AB" w:rsidRDefault="007873AB" w:rsidP="007873AB">
      <w:pPr>
        <w:spacing w:line="480" w:lineRule="auto"/>
      </w:pPr>
      <w:r>
        <w:tab/>
        <w:t>After this station comes the knowledge of God in His manifested (</w:t>
      </w:r>
      <w:r>
        <w:rPr>
          <w:i/>
        </w:rPr>
        <w:t>zahir</w:t>
      </w:r>
      <w:r>
        <w:t>) and  His hidden (</w:t>
      </w:r>
      <w:r>
        <w:rPr>
          <w:i/>
        </w:rPr>
        <w:t>batin</w:t>
      </w:r>
      <w:r>
        <w:t>) form. The seeker at this station still sees this two aspects of God as differentiated, and not in their essential unity. After this station, divine grace falls upon the seeker. Ibn ‘Arabi advises that one should “know the proper conduct of receiving and giving, contraction and expansion; and how to protect the heart, which is the place of the arrival of states, from burning destruction; and that all the ways are circles. There is no straight line. This letter is to brief to deal with matters like these.”</w:t>
      </w:r>
      <w:r>
        <w:rPr>
          <w:rStyle w:val="Refdenotaalfinal"/>
        </w:rPr>
        <w:endnoteReference w:id="34"/>
      </w:r>
      <w:r>
        <w:t xml:space="preserve"> This is an important quote, because Sufis make a clear distinction between stations (</w:t>
      </w:r>
      <w:r>
        <w:rPr>
          <w:i/>
        </w:rPr>
        <w:t>maqamat</w:t>
      </w:r>
      <w:r>
        <w:t>) and states (</w:t>
      </w:r>
      <w:r>
        <w:rPr>
          <w:i/>
        </w:rPr>
        <w:t>ahwal</w:t>
      </w:r>
      <w:r>
        <w:t>). Station seem to be solid steps in the path; meanwhile states come and go, they are momentary. States are moments of rapture or understanding that come, but don’t have a solid foundation. Ibn ‘Arabi is very clear in an earlier part of his text that the seeker has to be careful of being baffled by states that while being blissful or insightful, might also lead the seeker astray. It is for this reason that Ibn ‘Arabi is reminding us of protecting our hearts from the states in this station. The last sentences of the passage are rather cryptic and incomplete. I wonder what he means by “all ways are circles, there is no straight line.” At least he says that it is because it is a brief letter that he cannot get into this matters in greater detail. A pity!</w:t>
      </w:r>
    </w:p>
    <w:p w14:paraId="4AC22E8A" w14:textId="77777777" w:rsidR="007873AB" w:rsidRDefault="007873AB" w:rsidP="007873AB">
      <w:pPr>
        <w:spacing w:line="480" w:lineRule="auto"/>
      </w:pPr>
      <w:r>
        <w:tab/>
        <w:t>As always, the seeker should continue with his dhikr. On this next station “He reveals to you the degrees of speculative sciences, sound integral ideas...and other related matters that require long explanations.”</w:t>
      </w:r>
      <w:r>
        <w:rPr>
          <w:rStyle w:val="Refdenotaalfinal"/>
        </w:rPr>
        <w:endnoteReference w:id="35"/>
      </w:r>
      <w:r>
        <w:t xml:space="preserve"> This is the realm of the preachers. The next station is the realm of artists and poets, “the vital breathings from beauty of form and harmony.”</w:t>
      </w:r>
      <w:r>
        <w:rPr>
          <w:rStyle w:val="Refdenotaalfinal"/>
        </w:rPr>
        <w:endnoteReference w:id="36"/>
      </w:r>
      <w:r>
        <w:t xml:space="preserve"> If you continue with your dhikr the world of the heart is manifested to you. Until this station “all that was witnessed was from the world of the left side, not from the world of the right...You are given the divine wisdoms and the power to preserve them and integrity to transmit them to the wise, and you are given the power of symbols and of the whole, and the authority over the veil and the unveiling.”</w:t>
      </w:r>
      <w:r>
        <w:rPr>
          <w:rStyle w:val="Refdenotaalfinal"/>
        </w:rPr>
        <w:endnoteReference w:id="37"/>
      </w:r>
      <w:r>
        <w:t xml:space="preserve"> This station which is called </w:t>
      </w:r>
      <w:r>
        <w:rPr>
          <w:i/>
        </w:rPr>
        <w:t>qutb</w:t>
      </w:r>
      <w:r>
        <w:t xml:space="preserve"> is the station of the saints. The </w:t>
      </w:r>
      <w:r>
        <w:rPr>
          <w:i/>
        </w:rPr>
        <w:t xml:space="preserve">qutb </w:t>
      </w:r>
      <w:r>
        <w:t>says, Sheikh Ozak al-Jerrahi “is directly responsible for the welfare of the entire world.”</w:t>
      </w:r>
      <w:r>
        <w:rPr>
          <w:rStyle w:val="Refdenotaalfinal"/>
        </w:rPr>
        <w:endnoteReference w:id="38"/>
      </w:r>
    </w:p>
    <w:p w14:paraId="168043F8" w14:textId="77777777" w:rsidR="007873AB" w:rsidRDefault="007873AB" w:rsidP="007873AB">
      <w:pPr>
        <w:spacing w:line="480" w:lineRule="auto"/>
      </w:pPr>
      <w:r>
        <w:t>Then, He reveals “to you the true schools and revealed traditions, and you can see how he “has adorned them, among the holy knowledges, with the most beautiful adornments.”</w:t>
      </w:r>
      <w:r>
        <w:rPr>
          <w:rStyle w:val="Refdenotaalfinal"/>
        </w:rPr>
        <w:endnoteReference w:id="39"/>
      </w:r>
      <w:r>
        <w:t xml:space="preserve"> Two stations come before the station where you don’t see nothing but yourself, great bliss invades you, and it is nothing you have seen before, says the Sheikh Akbar. You feel annihilated and it must be as the feeling that there is nowhere else to go. </w:t>
      </w:r>
    </w:p>
    <w:p w14:paraId="51BC40C8" w14:textId="77777777" w:rsidR="007873AB" w:rsidRDefault="007873AB" w:rsidP="007873AB">
      <w:pPr>
        <w:spacing w:line="480" w:lineRule="auto"/>
        <w:ind w:firstLine="720"/>
      </w:pPr>
      <w:r>
        <w:t xml:space="preserve">At this station is where al-Hillaj said, “I am the truth”, and Bistami said, Praise be to Me, how great is My Magesty made theirs statements. Junayd as well as Ibn ‘Arabi say that these mystics had not reached the final state. It is in this station where the mysteries of </w:t>
      </w:r>
      <w:r>
        <w:rPr>
          <w:i/>
        </w:rPr>
        <w:t>baqa</w:t>
      </w:r>
      <w:r>
        <w:t xml:space="preserve"> precede those of </w:t>
      </w:r>
      <w:r>
        <w:rPr>
          <w:i/>
        </w:rPr>
        <w:t>fana</w:t>
      </w:r>
      <w:r>
        <w:t xml:space="preserve">. The conceptualization of this step I find very important, so I repeat what I said earlier because Ibn ‘Arabi added a new step in the Sufi phenomenology. Ibn ‘Arabi incorporated a new step forward in the Sufi mystical experience. The step that pushes the mystic into sobriety, a return from the rapture into the world. Ibn ‘Arabi counsels us to continue with the dhikr. </w:t>
      </w:r>
    </w:p>
    <w:p w14:paraId="3E0E21A2" w14:textId="77777777" w:rsidR="007873AB" w:rsidRDefault="007873AB" w:rsidP="007873AB">
      <w:pPr>
        <w:spacing w:line="480" w:lineRule="auto"/>
      </w:pPr>
      <w:r>
        <w:tab/>
        <w:t>If we have not stopped we come to the Throne of Mercy (</w:t>
      </w:r>
      <w:r>
        <w:rPr>
          <w:i/>
        </w:rPr>
        <w:t>sarir al-rahmaniya</w:t>
      </w:r>
      <w:r>
        <w:t>). World and essence become known to you, and also the form of our uniqueness. The seeker learns what is his divine form, which Ibn ‘Arabi says that it has much to do with the way you choosed to reach to God. Ibn ‘Arabi writes, “He reveals to you the Pen, and First Intellect, the master and the teacher of everything.”</w:t>
      </w:r>
      <w:r>
        <w:rPr>
          <w:rStyle w:val="Refdenotaalfinal"/>
        </w:rPr>
        <w:endnoteReference w:id="40"/>
      </w:r>
      <w:r>
        <w:t xml:space="preserve"> And, if you don’t stop here the Mover of the pen is revealed to you. And if you don’t stop with this you reach your destination. The seeker then is called one who stops (</w:t>
      </w:r>
      <w:r>
        <w:rPr>
          <w:i/>
        </w:rPr>
        <w:t>waqif</w:t>
      </w:r>
      <w:r>
        <w:t>). This classification,</w:t>
      </w:r>
      <w:r>
        <w:rPr>
          <w:i/>
        </w:rPr>
        <w:t xml:space="preserve"> waqif</w:t>
      </w:r>
      <w:r>
        <w:t>, include those who are sent back (</w:t>
      </w:r>
      <w:r>
        <w:rPr>
          <w:i/>
        </w:rPr>
        <w:t>mardudun</w:t>
      </w:r>
      <w:r>
        <w:t>) and those who are absorbed (</w:t>
      </w:r>
      <w:r>
        <w:rPr>
          <w:i/>
        </w:rPr>
        <w:t>mustalikun</w:t>
      </w:r>
      <w:r>
        <w:t xml:space="preserve">) in this station. This can be compared to the Boddhisattvas and Arhats respectively in Buddhist terminology. </w:t>
      </w:r>
    </w:p>
    <w:p w14:paraId="3F2D09AF" w14:textId="77777777" w:rsidR="007873AB" w:rsidRDefault="007873AB" w:rsidP="007873AB">
      <w:pPr>
        <w:spacing w:line="480" w:lineRule="auto"/>
        <w:ind w:firstLine="720"/>
      </w:pPr>
      <w:r>
        <w:t>Of those who return there are also two types, one is he gnostic (‘</w:t>
      </w:r>
      <w:r>
        <w:rPr>
          <w:i/>
        </w:rPr>
        <w:t>arif</w:t>
      </w:r>
      <w:r>
        <w:t>) and the other is the ‘</w:t>
      </w:r>
      <w:r>
        <w:rPr>
          <w:i/>
        </w:rPr>
        <w:t>alim</w:t>
      </w:r>
      <w:r>
        <w:t>. The gnostic says Ibn ‘Arabi, “returns to perfecting himself from other than the road which he traveled.” The ‘</w:t>
      </w:r>
      <w:r>
        <w:rPr>
          <w:i/>
        </w:rPr>
        <w:t>alim</w:t>
      </w:r>
      <w:r>
        <w:t>, “is the inhereting knower...he comes back with the language of direction and guidance.”</w:t>
      </w:r>
      <w:r>
        <w:rPr>
          <w:rStyle w:val="Refdenotaalfinal"/>
        </w:rPr>
        <w:endnoteReference w:id="41"/>
      </w:r>
      <w:r>
        <w:t xml:space="preserve"> </w:t>
      </w:r>
    </w:p>
    <w:p w14:paraId="3DD96381" w14:textId="77777777" w:rsidR="007873AB" w:rsidRDefault="007873AB" w:rsidP="007873AB">
      <w:pPr>
        <w:spacing w:line="480" w:lineRule="auto"/>
      </w:pPr>
      <w:r>
        <w:tab/>
        <w:t xml:space="preserve">At this point Ibn ‘Arabi goes through a whole explanation between the difference between a saint and a prophet. He basically says that they are the same except for the form of their discourse. The saint refers to what a prophet has said, while the prophet speaks without any intermediary. </w:t>
      </w:r>
      <w:r>
        <w:rPr>
          <w:b/>
        </w:rPr>
        <w:t>In this sense Sufism distinguishes radically from Christianity, in the sense that Christianity doesn’t allow for prophets. ((ahora no estoy tan seguro))</w:t>
      </w:r>
    </w:p>
    <w:p w14:paraId="57CB190A" w14:textId="77777777" w:rsidR="007873AB" w:rsidRDefault="007873AB" w:rsidP="007873AB">
      <w:pPr>
        <w:spacing w:line="480" w:lineRule="auto"/>
      </w:pPr>
      <w:r>
        <w:tab/>
        <w:t>Ibn ‘Arabi at this point gives a long and rather obscure passage about what has been translated as ‘Moment’ (</w:t>
      </w:r>
      <w:r>
        <w:rPr>
          <w:i/>
        </w:rPr>
        <w:t>waqt</w:t>
      </w:r>
      <w:r>
        <w:t>). Ibn ‘Arabi says, “The Moment lengthens and shortens in accordance with the presence of the one who partakes in it.” I wonder what he means, because he gives a fairly amount of time to this point. I believe that it must have a connection with what Rumi refers when he says, “A Sufi is a child of the moment”</w:t>
      </w:r>
      <w:r>
        <w:rPr>
          <w:rStyle w:val="Refdenotaalfinal"/>
        </w:rPr>
        <w:endnoteReference w:id="42"/>
      </w:r>
      <w:r>
        <w:t xml:space="preserve"> or “When he is holding you near he whispers in your ear the word BE!”</w:t>
      </w:r>
      <w:r>
        <w:rPr>
          <w:rStyle w:val="Refdenotaalfinal"/>
        </w:rPr>
        <w:endnoteReference w:id="43"/>
      </w:r>
      <w:r>
        <w:t xml:space="preserve"> Rumi also writes, “Soul of my Soul of the Soul of a hundred universes, be water in this Now-river.”</w:t>
      </w:r>
      <w:r>
        <w:rPr>
          <w:rStyle w:val="Refdenotaalfinal"/>
        </w:rPr>
        <w:endnoteReference w:id="44"/>
      </w:r>
      <w:r>
        <w:t xml:space="preserve"> Ibn ‘Arabi seems to be referring to the same experience. Ibn ‘Arabi says that if one is concerned with the days one looses the hours, and if one is concerned with the months one looses the days, and if one is concerned with the year one looses the months, and if one’s concern is our life time then one looses the years, and greater the distance with the Moment, greater is the distance from God. Ibn ‘Arabi says that there are people in this earth that have no notion of the Moment.</w:t>
      </w:r>
    </w:p>
    <w:p w14:paraId="258C71EC" w14:textId="77777777" w:rsidR="007873AB" w:rsidRDefault="007873AB" w:rsidP="007873AB">
      <w:pPr>
        <w:spacing w:line="480" w:lineRule="auto"/>
      </w:pPr>
      <w:r>
        <w:tab/>
        <w:t>At the end of the treaty he reminds his friend that this path is not meant for he who has no preparation. The seeker has to be well established in spiritual discipline before entering this type of practice, retreat. Ibn ‘Arabi ends the treaty saying, “One , though He is one in essence, is infinite in aspects. They are His traces in us....And still the knower is thirsty continually forever, and desire and awe cleave to Him continually forever. And for the like of this let the workers work, and for the like of this let the contenders contend.” This last passage alludes to pure contemplation. This passage reminds me of Heraclitus when Heraclitus says, “those sleeping are laborers and co-workers with the things happening in the world.”</w:t>
      </w:r>
      <w:r>
        <w:rPr>
          <w:rStyle w:val="Refdenotaalfinal"/>
        </w:rPr>
        <w:endnoteReference w:id="45"/>
      </w:r>
      <w:r>
        <w:t xml:space="preserve"> In this state of contemplation good and bad has also turned into part of God’s will. Workers work and contenders contend; there are all Gods forms, because only He is. Ibn ‘Arabi says about himself in poetic language, “My heart has becomed capable of every form: it is a pasture for gazelles and a convent for Christian monks/ And a temple for idols and the pilgrim’s Ka’ba and the tables of/ the Tora and the book of the Qur’an./ I follow the religion of love: whatever way Love’s camels take,/ that is religion and my faith.”</w:t>
      </w:r>
    </w:p>
    <w:p w14:paraId="17FB23AF" w14:textId="77777777" w:rsidR="007873AB" w:rsidRDefault="007873AB" w:rsidP="007873AB">
      <w:pPr>
        <w:spacing w:line="480" w:lineRule="auto"/>
      </w:pPr>
      <w:r>
        <w:tab/>
        <w:t xml:space="preserve">I am reminded of Hegel’s Phenomenology of Spirit when at the end of his chapter on freedom of self-consciousness he says, “is all reality”. He arrived to this conclusion after giving a thorough rational account [attempt] to show that subject and object are one, thus eliminating all traces of duality, in the same manner, at least intention like the Sufis. </w:t>
      </w:r>
    </w:p>
    <w:p w14:paraId="1894A5DA" w14:textId="77777777" w:rsidR="007873AB" w:rsidRDefault="007873AB" w:rsidP="007873AB">
      <w:pPr>
        <w:spacing w:line="480" w:lineRule="auto"/>
      </w:pPr>
      <w:r>
        <w:tab/>
        <w:t xml:space="preserve">A greater understanding of Ibn ‘Arabi, and in this case any philosopher or mystic is dependent on the station, or at least state which we are in. Chodkiewicz calls Ibn ‘Arabi’s work a paradox, and Schimmel sees it as of difficult interpretation. It is not a paradox nor of difficult interpretation, but of subtle understanding. Scholars on Ibn ‘Arabi find his work difficult. “The student, Abu l-Ala ‘Afifi author among other works , of </w:t>
      </w:r>
      <w:r>
        <w:rPr>
          <w:u w:val="single"/>
        </w:rPr>
        <w:t>The Mystical  Philosophy of Muhyid Din Ibnul ‘Arabi</w:t>
      </w:r>
      <w:r>
        <w:t xml:space="preserve"> confessed [to Nicholson] that, “Never before have I experienced such a difficulty understanding an Arabic text [the </w:t>
      </w:r>
      <w:r>
        <w:rPr>
          <w:i/>
        </w:rPr>
        <w:t>Fusus</w:t>
      </w:r>
      <w:r>
        <w:t>]...Arberry deplored the confusion of Ibn ‘Arabi’s mental outlook...Rom Landau declared that, “his ambiguities and contradictions may drive us well-nigh to despair”.”</w:t>
      </w:r>
      <w:r>
        <w:rPr>
          <w:rStyle w:val="Refdenotaalfinal"/>
        </w:rPr>
        <w:endnoteReference w:id="46"/>
      </w:r>
      <w:r>
        <w:t xml:space="preserve"> </w:t>
      </w:r>
    </w:p>
    <w:p w14:paraId="19AB554B" w14:textId="77777777" w:rsidR="007873AB" w:rsidRDefault="007873AB" w:rsidP="007873AB">
      <w:pPr>
        <w:spacing w:line="480" w:lineRule="auto"/>
        <w:ind w:firstLine="720"/>
      </w:pPr>
      <w:r>
        <w:t xml:space="preserve">I believe that Ibn ‘Arabi’s seeming contradictions say something about those that try to understand him rather than about Ibn ‘Arabi himself. As Ibn ‘Arabi states, the seeming divisions, which seem irreconcilable or paradoxical for the non-seeker or neophyte, are not such for he who has gone in the journey. In this untrottened road, which seems to lead from here to here, interpretation is senseless if one is not willing to go through the practices of this tradition. If one has not given oneself to the practices, all interpretations are from the surface, and certainly seem paradoxical, ambiguous or contradictory. </w:t>
      </w:r>
    </w:p>
    <w:p w14:paraId="5CF3E175" w14:textId="77777777" w:rsidR="007873AB" w:rsidRDefault="007873AB" w:rsidP="007873AB">
      <w:pPr>
        <w:spacing w:line="480" w:lineRule="auto"/>
      </w:pPr>
      <w:r>
        <w:tab/>
        <w:t>Finally, Ibn ‘Arabi’s ultimate message might be similar to a contemporary mystic who said, “We can sit in silence and listen to the birds or to the wind in the trees...</w:t>
      </w:r>
    </w:p>
    <w:p w14:paraId="131D1CB9" w14:textId="77777777" w:rsidR="007873AB" w:rsidRDefault="007873AB" w:rsidP="007873AB">
      <w:pPr>
        <w:spacing w:line="480" w:lineRule="auto"/>
      </w:pPr>
      <w:r>
        <w:t>That is going to be my ultimate message and my final work on the earth”</w:t>
      </w:r>
      <w:r>
        <w:rPr>
          <w:rStyle w:val="Refdenotaalfinal"/>
        </w:rPr>
        <w:endnoteReference w:id="47"/>
      </w:r>
      <w:r>
        <w:t>, alluding poetically to the last station of contemplation or perception (</w:t>
      </w:r>
      <w:r>
        <w:rPr>
          <w:i/>
        </w:rPr>
        <w:t>wahdat al-wujud</w:t>
      </w:r>
      <w:r>
        <w:t xml:space="preserve">), only understood by the </w:t>
      </w:r>
      <w:r>
        <w:rPr>
          <w:i/>
        </w:rPr>
        <w:t>waqif</w:t>
      </w:r>
      <w:r>
        <w:t xml:space="preserve">. </w:t>
      </w:r>
    </w:p>
    <w:p w14:paraId="5EE3A92A" w14:textId="77777777" w:rsidR="007873AB" w:rsidRDefault="007873AB" w:rsidP="007873AB">
      <w:pPr>
        <w:spacing w:line="480" w:lineRule="auto"/>
      </w:pPr>
    </w:p>
    <w:p w14:paraId="5EDDA6CB" w14:textId="77777777" w:rsidR="007873AB" w:rsidRDefault="007873AB" w:rsidP="007873AB">
      <w:pPr>
        <w:spacing w:line="480" w:lineRule="auto"/>
      </w:pPr>
    </w:p>
    <w:p w14:paraId="7854A138" w14:textId="77777777" w:rsidR="007873AB" w:rsidRDefault="007873AB" w:rsidP="007873AB">
      <w:pPr>
        <w:spacing w:line="480" w:lineRule="auto"/>
      </w:pPr>
    </w:p>
    <w:p w14:paraId="61B9DBA0" w14:textId="77777777" w:rsidR="00793A97" w:rsidRDefault="00793A97"/>
    <w:sectPr w:rsidR="00793A97">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ADEE01" w14:textId="77777777" w:rsidR="007873AB" w:rsidRDefault="007873AB" w:rsidP="007873AB">
      <w:r>
        <w:separator/>
      </w:r>
    </w:p>
  </w:endnote>
  <w:endnote w:type="continuationSeparator" w:id="0">
    <w:p w14:paraId="42F384F7" w14:textId="77777777" w:rsidR="007873AB" w:rsidRDefault="007873AB" w:rsidP="007873AB">
      <w:r>
        <w:continuationSeparator/>
      </w:r>
    </w:p>
  </w:endnote>
  <w:endnote w:id="1">
    <w:p w14:paraId="01D48B6E" w14:textId="77777777" w:rsidR="007873AB" w:rsidRDefault="007873AB" w:rsidP="007873AB">
      <w:pPr>
        <w:pStyle w:val="Textonotaalfinal"/>
      </w:pPr>
      <w:r>
        <w:rPr>
          <w:rStyle w:val="Refdenotaalfinal"/>
        </w:rPr>
        <w:endnoteRef/>
      </w:r>
      <w:r>
        <w:t xml:space="preserve"> al ‘Arabi, Ibn. </w:t>
      </w:r>
      <w:r>
        <w:rPr>
          <w:u w:val="single"/>
        </w:rPr>
        <w:t>Journey to the Lord of Power</w:t>
      </w:r>
      <w:r>
        <w:t>. Trans. Rabia Terri Harris. Rochester: Inner Traditions International. 1989 (pg. 14)</w:t>
      </w:r>
    </w:p>
  </w:endnote>
  <w:endnote w:id="2">
    <w:p w14:paraId="51F5A7FE" w14:textId="77777777" w:rsidR="007873AB" w:rsidRDefault="007873AB" w:rsidP="007873AB">
      <w:pPr>
        <w:pStyle w:val="Textonotaalfinal"/>
      </w:pPr>
      <w:r>
        <w:rPr>
          <w:rStyle w:val="Refdenotaalfinal"/>
        </w:rPr>
        <w:endnoteRef/>
      </w:r>
      <w:r>
        <w:t xml:space="preserve"> al ‘Arabi, Ibn. </w:t>
      </w:r>
      <w:r>
        <w:rPr>
          <w:u w:val="single"/>
        </w:rPr>
        <w:t>Mysteries of Purity. (</w:t>
      </w:r>
      <w:r>
        <w:rPr>
          <w:i/>
          <w:u w:val="single"/>
        </w:rPr>
        <w:t>asrar al-taharah</w:t>
      </w:r>
      <w:r>
        <w:t>) Trans. Eric Winkel. Notre Dame: Cross Cultural Publications. 1995 (pg. 8)</w:t>
      </w:r>
    </w:p>
  </w:endnote>
  <w:endnote w:id="3">
    <w:p w14:paraId="583A9B7C" w14:textId="77777777" w:rsidR="007873AB" w:rsidRDefault="007873AB" w:rsidP="007873AB">
      <w:pPr>
        <w:pStyle w:val="Textonotaalfinal"/>
      </w:pPr>
      <w:r>
        <w:rPr>
          <w:rStyle w:val="Refdenotaalfinal"/>
        </w:rPr>
        <w:endnoteRef/>
      </w:r>
      <w:r>
        <w:t xml:space="preserve"> Fakhry, Majid. </w:t>
      </w:r>
      <w:r>
        <w:rPr>
          <w:u w:val="single"/>
        </w:rPr>
        <w:t>Islamic Philosophy and Mysticism</w:t>
      </w:r>
      <w:r>
        <w:t xml:space="preserve">. Oxford: Oneworld Publications. 1997 (pg. 21) </w:t>
      </w:r>
    </w:p>
  </w:endnote>
  <w:endnote w:id="4">
    <w:p w14:paraId="5B6BB737" w14:textId="77777777" w:rsidR="007873AB" w:rsidRDefault="007873AB" w:rsidP="007873AB">
      <w:pPr>
        <w:pStyle w:val="Textonotaalfinal"/>
      </w:pPr>
      <w:r>
        <w:rPr>
          <w:rStyle w:val="Refdenotaalfinal"/>
        </w:rPr>
        <w:endnoteRef/>
      </w:r>
      <w:r>
        <w:t xml:space="preserve"> Ibid. (pg. 22)</w:t>
      </w:r>
    </w:p>
  </w:endnote>
  <w:endnote w:id="5">
    <w:p w14:paraId="4E60AAA5" w14:textId="77777777" w:rsidR="007873AB" w:rsidRDefault="007873AB" w:rsidP="007873AB">
      <w:pPr>
        <w:pStyle w:val="Textonotaalfinal"/>
      </w:pPr>
      <w:r>
        <w:rPr>
          <w:rStyle w:val="Refdenotaalfinal"/>
        </w:rPr>
        <w:endnoteRef/>
      </w:r>
      <w:r>
        <w:t xml:space="preserve"> Ibid. (pg. 24)</w:t>
      </w:r>
    </w:p>
  </w:endnote>
  <w:endnote w:id="6">
    <w:p w14:paraId="6D7F6AD5" w14:textId="77777777" w:rsidR="007873AB" w:rsidRDefault="007873AB" w:rsidP="007873AB">
      <w:pPr>
        <w:pStyle w:val="Textonotaalfinal"/>
      </w:pPr>
      <w:r>
        <w:rPr>
          <w:rStyle w:val="Refdenotaalfinal"/>
        </w:rPr>
        <w:endnoteRef/>
      </w:r>
      <w:r>
        <w:t xml:space="preserve"> Arabi, Muhyiddin Ibn. </w:t>
      </w:r>
      <w:r>
        <w:rPr>
          <w:u w:val="single"/>
        </w:rPr>
        <w:t>The Kernel of the Kernel</w:t>
      </w:r>
      <w:r>
        <w:t xml:space="preserve">. Trans. Ismail Hakki Bursevi. Roxburgh: Beshara Publications. 1997 (pg. 1) </w:t>
      </w:r>
    </w:p>
  </w:endnote>
  <w:endnote w:id="7">
    <w:p w14:paraId="4C3266FD" w14:textId="77777777" w:rsidR="007873AB" w:rsidRDefault="007873AB" w:rsidP="007873AB">
      <w:pPr>
        <w:pStyle w:val="Textonotaalfinal"/>
      </w:pPr>
      <w:r>
        <w:rPr>
          <w:rStyle w:val="Refdenotaalfinal"/>
        </w:rPr>
        <w:endnoteRef/>
      </w:r>
      <w:r>
        <w:t xml:space="preserve"> Chittick, William. </w:t>
      </w:r>
      <w:r>
        <w:rPr>
          <w:u w:val="single"/>
        </w:rPr>
        <w:t>Imaginal Worlds. Ibn al- ‘Arabi and the Problem of Religious Diversity</w:t>
      </w:r>
      <w:r>
        <w:t xml:space="preserve">. Albany: State U. of NY 1994 (pg. 176)  </w:t>
      </w:r>
    </w:p>
  </w:endnote>
  <w:endnote w:id="8">
    <w:p w14:paraId="44A5CA42" w14:textId="77777777" w:rsidR="007873AB" w:rsidRDefault="007873AB" w:rsidP="007873AB">
      <w:pPr>
        <w:pStyle w:val="Textonotaalfinal"/>
      </w:pPr>
      <w:r>
        <w:rPr>
          <w:rStyle w:val="Refdenotaalfinal"/>
        </w:rPr>
        <w:endnoteRef/>
      </w:r>
      <w:r>
        <w:t xml:space="preserve"> Thurman, Robert. </w:t>
      </w:r>
      <w:r>
        <w:rPr>
          <w:u w:val="single"/>
        </w:rPr>
        <w:t>The Central Philosophy of Tibet</w:t>
      </w:r>
      <w:r>
        <w:t>. Princeton: Princeton UP 1984 (pg. 111)</w:t>
      </w:r>
    </w:p>
  </w:endnote>
  <w:endnote w:id="9">
    <w:p w14:paraId="274D115B" w14:textId="77777777" w:rsidR="007873AB" w:rsidRDefault="007873AB" w:rsidP="007873AB">
      <w:pPr>
        <w:pStyle w:val="Textonotaalfinal"/>
      </w:pPr>
      <w:r>
        <w:rPr>
          <w:rStyle w:val="Refdenotaalfinal"/>
        </w:rPr>
        <w:endnoteRef/>
      </w:r>
      <w:r>
        <w:t xml:space="preserve"> Denny, Frederick. </w:t>
      </w:r>
      <w:r>
        <w:rPr>
          <w:u w:val="single"/>
        </w:rPr>
        <w:t>An Introduction to Islam</w:t>
      </w:r>
      <w:r>
        <w:t>. New York: Macmillan PC. 1985 (pgs. 263- 264)</w:t>
      </w:r>
    </w:p>
  </w:endnote>
  <w:endnote w:id="10">
    <w:p w14:paraId="529F9F8F" w14:textId="77777777" w:rsidR="007873AB" w:rsidRDefault="007873AB" w:rsidP="007873AB">
      <w:pPr>
        <w:pStyle w:val="Textonotaalfinal"/>
      </w:pPr>
      <w:r>
        <w:rPr>
          <w:rStyle w:val="Refdenotaalfinal"/>
        </w:rPr>
        <w:endnoteRef/>
      </w:r>
      <w:r>
        <w:t xml:space="preserve"> Schimmel, Annemarie. </w:t>
      </w:r>
      <w:r>
        <w:rPr>
          <w:u w:val="single"/>
        </w:rPr>
        <w:t>Mystical Dimensions of Islam</w:t>
      </w:r>
      <w:r>
        <w:t>. Chapel Hill: U of North Carolina Press. 1975 (pg. 267)</w:t>
      </w:r>
    </w:p>
  </w:endnote>
  <w:endnote w:id="11">
    <w:p w14:paraId="50B90013" w14:textId="77777777" w:rsidR="007873AB" w:rsidRDefault="007873AB" w:rsidP="007873AB">
      <w:pPr>
        <w:pStyle w:val="Textonotaalfinal"/>
      </w:pPr>
      <w:r>
        <w:rPr>
          <w:rStyle w:val="Refdenotaalfinal"/>
        </w:rPr>
        <w:endnoteRef/>
      </w:r>
      <w:r>
        <w:t xml:space="preserve"> Ibid.</w:t>
      </w:r>
    </w:p>
  </w:endnote>
  <w:endnote w:id="12">
    <w:p w14:paraId="6444AB8C" w14:textId="77777777" w:rsidR="007873AB" w:rsidRDefault="007873AB" w:rsidP="007873AB">
      <w:pPr>
        <w:pStyle w:val="Textonotaalfinal"/>
      </w:pPr>
      <w:r>
        <w:rPr>
          <w:rStyle w:val="Refdenotaalfinal"/>
        </w:rPr>
        <w:endnoteRef/>
      </w:r>
      <w:r>
        <w:t xml:space="preserve"> Chittick, (pg. 15)</w:t>
      </w:r>
    </w:p>
  </w:endnote>
  <w:endnote w:id="13">
    <w:p w14:paraId="3976011C" w14:textId="77777777" w:rsidR="007873AB" w:rsidRDefault="007873AB" w:rsidP="007873AB">
      <w:pPr>
        <w:pStyle w:val="Textonotaalfinal"/>
      </w:pPr>
      <w:r>
        <w:rPr>
          <w:rStyle w:val="Refdenotaalfinal"/>
        </w:rPr>
        <w:endnoteRef/>
      </w:r>
      <w:r>
        <w:t xml:space="preserve"> Ibid. </w:t>
      </w:r>
    </w:p>
  </w:endnote>
  <w:endnote w:id="14">
    <w:p w14:paraId="7F15748C" w14:textId="77777777" w:rsidR="007873AB" w:rsidRDefault="007873AB" w:rsidP="007873AB">
      <w:pPr>
        <w:pStyle w:val="Textonotaalfinal"/>
      </w:pPr>
      <w:r>
        <w:rPr>
          <w:rStyle w:val="Refdenotaalfinal"/>
        </w:rPr>
        <w:endnoteRef/>
      </w:r>
      <w:r>
        <w:t xml:space="preserve"> Ibid. (pg. 178)</w:t>
      </w:r>
    </w:p>
  </w:endnote>
  <w:endnote w:id="15">
    <w:p w14:paraId="752515D8" w14:textId="77777777" w:rsidR="007873AB" w:rsidRDefault="007873AB" w:rsidP="007873AB">
      <w:pPr>
        <w:pStyle w:val="Textonotaalfinal"/>
      </w:pPr>
      <w:r>
        <w:rPr>
          <w:rStyle w:val="Refdenotaalfinal"/>
        </w:rPr>
        <w:endnoteRef/>
      </w:r>
      <w:r>
        <w:t xml:space="preserve"> al ‘Arabi, Muhyiddin Ibn. </w:t>
      </w:r>
      <w:r>
        <w:rPr>
          <w:u w:val="single"/>
        </w:rPr>
        <w:t>Treatise on Being (</w:t>
      </w:r>
      <w:r>
        <w:rPr>
          <w:i/>
          <w:u w:val="single"/>
        </w:rPr>
        <w:t>Risale-t-ul-wujudiyyah</w:t>
      </w:r>
      <w:r>
        <w:rPr>
          <w:u w:val="single"/>
        </w:rPr>
        <w:t>).</w:t>
      </w:r>
      <w:r>
        <w:t xml:space="preserve"> Trans. T.H. Weir. Abindgdon. Beshara Publications. 1988 (pg. 6)</w:t>
      </w:r>
    </w:p>
  </w:endnote>
  <w:endnote w:id="16">
    <w:p w14:paraId="2AC3EA65" w14:textId="77777777" w:rsidR="007873AB" w:rsidRDefault="007873AB" w:rsidP="007873AB">
      <w:pPr>
        <w:pStyle w:val="Textonotaalfinal"/>
      </w:pPr>
      <w:r>
        <w:rPr>
          <w:rStyle w:val="Refdenotaalfinal"/>
        </w:rPr>
        <w:endnoteRef/>
      </w:r>
      <w:r>
        <w:t xml:space="preserve"> Ibid. (pg. 14)</w:t>
      </w:r>
    </w:p>
  </w:endnote>
  <w:endnote w:id="17">
    <w:p w14:paraId="3903DFF6" w14:textId="77777777" w:rsidR="007873AB" w:rsidRDefault="007873AB" w:rsidP="007873AB">
      <w:pPr>
        <w:pStyle w:val="Textonotaalfinal"/>
      </w:pPr>
      <w:r>
        <w:rPr>
          <w:rStyle w:val="Refdenotaalfinal"/>
        </w:rPr>
        <w:endnoteRef/>
      </w:r>
      <w:r>
        <w:t xml:space="preserve"> Rhie, Marylin &amp; Robert Thurman. </w:t>
      </w:r>
      <w:r>
        <w:rPr>
          <w:u w:val="single"/>
        </w:rPr>
        <w:t>The Sacred Art of Tibet</w:t>
      </w:r>
      <w:r>
        <w:t>. Harry N. Abrams Publishers. NY 1996 (pg. 154)</w:t>
      </w:r>
    </w:p>
  </w:endnote>
  <w:endnote w:id="18">
    <w:p w14:paraId="64B3ADD7" w14:textId="77777777" w:rsidR="007873AB" w:rsidRDefault="007873AB" w:rsidP="007873AB">
      <w:pPr>
        <w:pStyle w:val="Textonotaalfinal"/>
      </w:pPr>
      <w:r>
        <w:rPr>
          <w:rStyle w:val="Refdenotaalfinal"/>
        </w:rPr>
        <w:endnoteRef/>
      </w:r>
      <w:r>
        <w:t xml:space="preserve"> al ‘Arabi, Muhyiddin Ibn. </w:t>
      </w:r>
      <w:r>
        <w:rPr>
          <w:u w:val="single"/>
        </w:rPr>
        <w:t>Treatise on Being (</w:t>
      </w:r>
      <w:r>
        <w:rPr>
          <w:i/>
          <w:u w:val="single"/>
        </w:rPr>
        <w:t>Risale-t-ul-wujudiyyah</w:t>
      </w:r>
      <w:r>
        <w:rPr>
          <w:u w:val="single"/>
        </w:rPr>
        <w:t>).</w:t>
      </w:r>
      <w:r>
        <w:t xml:space="preserve"> (pg. 15) </w:t>
      </w:r>
    </w:p>
  </w:endnote>
  <w:endnote w:id="19">
    <w:p w14:paraId="5C210A43" w14:textId="77777777" w:rsidR="007873AB" w:rsidRDefault="007873AB" w:rsidP="007873AB">
      <w:pPr>
        <w:pStyle w:val="Textonotaalfinal"/>
      </w:pPr>
      <w:r>
        <w:rPr>
          <w:rStyle w:val="Refdenotaalfinal"/>
        </w:rPr>
        <w:endnoteRef/>
      </w:r>
      <w:r>
        <w:t xml:space="preserve"> Ibid.</w:t>
      </w:r>
    </w:p>
  </w:endnote>
  <w:endnote w:id="20">
    <w:p w14:paraId="7A93A186" w14:textId="77777777" w:rsidR="007873AB" w:rsidRDefault="007873AB" w:rsidP="007873AB">
      <w:pPr>
        <w:pStyle w:val="Textonotaalfinal"/>
      </w:pPr>
      <w:r>
        <w:rPr>
          <w:rStyle w:val="Refdenotaalfinal"/>
        </w:rPr>
        <w:endnoteRef/>
      </w:r>
      <w:r>
        <w:t xml:space="preserve"> Ibid. (pg. 16)</w:t>
      </w:r>
    </w:p>
  </w:endnote>
  <w:endnote w:id="21">
    <w:p w14:paraId="0CA8952F" w14:textId="77777777" w:rsidR="007873AB" w:rsidRDefault="007873AB" w:rsidP="007873AB">
      <w:pPr>
        <w:pStyle w:val="Textonotaalfinal"/>
      </w:pPr>
      <w:r>
        <w:rPr>
          <w:rStyle w:val="Refdenotaalfinal"/>
        </w:rPr>
        <w:endnoteRef/>
      </w:r>
      <w:r>
        <w:t xml:space="preserve"> Ibid. (pg. 16)</w:t>
      </w:r>
    </w:p>
  </w:endnote>
  <w:endnote w:id="22">
    <w:p w14:paraId="3A6FD729" w14:textId="77777777" w:rsidR="007873AB" w:rsidRDefault="007873AB" w:rsidP="007873AB">
      <w:pPr>
        <w:pStyle w:val="Textonotaalfinal"/>
      </w:pPr>
      <w:r>
        <w:rPr>
          <w:rStyle w:val="Refdenotaalfinal"/>
        </w:rPr>
        <w:endnoteRef/>
      </w:r>
      <w:r>
        <w:t xml:space="preserve"> al ‘Arabi, Ibn. </w:t>
      </w:r>
      <w:r>
        <w:rPr>
          <w:u w:val="single"/>
        </w:rPr>
        <w:t>Journey to the Lord of Power</w:t>
      </w:r>
      <w:r>
        <w:t>.  (pg. 2)</w:t>
      </w:r>
    </w:p>
  </w:endnote>
  <w:endnote w:id="23">
    <w:p w14:paraId="6F9E0460" w14:textId="77777777" w:rsidR="007873AB" w:rsidRDefault="007873AB" w:rsidP="007873AB">
      <w:pPr>
        <w:pStyle w:val="Textonotaalfinal"/>
      </w:pPr>
      <w:r>
        <w:rPr>
          <w:rStyle w:val="Refdenotaalfinal"/>
        </w:rPr>
        <w:endnoteRef/>
      </w:r>
      <w:r>
        <w:t xml:space="preserve"> Ibid. (pg. 64)</w:t>
      </w:r>
    </w:p>
  </w:endnote>
  <w:endnote w:id="24">
    <w:p w14:paraId="1C1AD7D4" w14:textId="77777777" w:rsidR="007873AB" w:rsidRDefault="007873AB" w:rsidP="007873AB">
      <w:pPr>
        <w:pStyle w:val="Textonotaalfinal"/>
      </w:pPr>
      <w:r>
        <w:rPr>
          <w:rStyle w:val="Refdenotaalfinal"/>
        </w:rPr>
        <w:endnoteRef/>
      </w:r>
      <w:r>
        <w:t xml:space="preserve"> Ibid. (pg. 103)</w:t>
      </w:r>
    </w:p>
  </w:endnote>
  <w:endnote w:id="25">
    <w:p w14:paraId="4CD6AAB8" w14:textId="77777777" w:rsidR="007873AB" w:rsidRDefault="007873AB" w:rsidP="007873AB">
      <w:pPr>
        <w:pStyle w:val="Textonotaalfinal"/>
      </w:pPr>
      <w:r>
        <w:rPr>
          <w:rStyle w:val="Refdenotaalfinal"/>
        </w:rPr>
        <w:endnoteRef/>
      </w:r>
      <w:r>
        <w:t xml:space="preserve"> Ibid. (pg. 26)</w:t>
      </w:r>
    </w:p>
  </w:endnote>
  <w:endnote w:id="26">
    <w:p w14:paraId="6260325A" w14:textId="77777777" w:rsidR="007873AB" w:rsidRDefault="007873AB" w:rsidP="007873AB">
      <w:pPr>
        <w:pStyle w:val="Textonotaalfinal"/>
      </w:pPr>
      <w:r>
        <w:rPr>
          <w:rStyle w:val="Refdenotaalfinal"/>
        </w:rPr>
        <w:endnoteRef/>
      </w:r>
      <w:r>
        <w:t xml:space="preserve"> Schimmel (pg. 280) </w:t>
      </w:r>
    </w:p>
  </w:endnote>
  <w:endnote w:id="27">
    <w:p w14:paraId="1F789AE9" w14:textId="77777777" w:rsidR="007873AB" w:rsidRDefault="007873AB" w:rsidP="007873AB">
      <w:pPr>
        <w:pStyle w:val="Textonotaalfinal"/>
      </w:pPr>
      <w:r>
        <w:rPr>
          <w:rStyle w:val="Refdenotaalfinal"/>
        </w:rPr>
        <w:endnoteRef/>
      </w:r>
      <w:r>
        <w:t xml:space="preserve"> Ibid.</w:t>
      </w:r>
    </w:p>
  </w:endnote>
  <w:endnote w:id="28">
    <w:p w14:paraId="70DBABEA" w14:textId="77777777" w:rsidR="007873AB" w:rsidRDefault="007873AB" w:rsidP="007873AB">
      <w:pPr>
        <w:pStyle w:val="Textonotaalfinal"/>
      </w:pPr>
      <w:r>
        <w:rPr>
          <w:rStyle w:val="Refdenotaalfinal"/>
        </w:rPr>
        <w:endnoteRef/>
      </w:r>
      <w:r>
        <w:t xml:space="preserve"> al ‘Arabi, Ibn. </w:t>
      </w:r>
      <w:r>
        <w:rPr>
          <w:u w:val="single"/>
        </w:rPr>
        <w:t>Journey to the Lord of Power.</w:t>
      </w:r>
      <w:r>
        <w:t xml:space="preserve"> (pg. 30)</w:t>
      </w:r>
    </w:p>
  </w:endnote>
  <w:endnote w:id="29">
    <w:p w14:paraId="365F36F4" w14:textId="77777777" w:rsidR="007873AB" w:rsidRDefault="007873AB" w:rsidP="007873AB">
      <w:pPr>
        <w:pStyle w:val="Textonotaalfinal"/>
      </w:pPr>
      <w:r>
        <w:rPr>
          <w:rStyle w:val="Refdenotaalfinal"/>
        </w:rPr>
        <w:endnoteRef/>
      </w:r>
      <w:r>
        <w:t xml:space="preserve"> Ibid. (pg. 31) </w:t>
      </w:r>
    </w:p>
  </w:endnote>
  <w:endnote w:id="30">
    <w:p w14:paraId="7DCC0DB9" w14:textId="77777777" w:rsidR="007873AB" w:rsidRDefault="007873AB" w:rsidP="007873AB">
      <w:pPr>
        <w:pStyle w:val="Textonotaalfinal"/>
      </w:pPr>
      <w:r>
        <w:rPr>
          <w:rStyle w:val="Refdenotaalfinal"/>
        </w:rPr>
        <w:endnoteRef/>
      </w:r>
      <w:r>
        <w:t xml:space="preserve"> Ibid. (pg. 32)</w:t>
      </w:r>
    </w:p>
  </w:endnote>
  <w:endnote w:id="31">
    <w:p w14:paraId="18375F4E" w14:textId="77777777" w:rsidR="007873AB" w:rsidRDefault="007873AB" w:rsidP="007873AB">
      <w:pPr>
        <w:pStyle w:val="Textonotaalfinal"/>
      </w:pPr>
      <w:r>
        <w:rPr>
          <w:rStyle w:val="Refdenotaalfinal"/>
        </w:rPr>
        <w:endnoteRef/>
      </w:r>
      <w:r>
        <w:t xml:space="preserve"> Ibid. </w:t>
      </w:r>
    </w:p>
  </w:endnote>
  <w:endnote w:id="32">
    <w:p w14:paraId="1F4FF8CC" w14:textId="77777777" w:rsidR="007873AB" w:rsidRDefault="007873AB" w:rsidP="007873AB">
      <w:pPr>
        <w:pStyle w:val="Textonotaalfinal"/>
      </w:pPr>
      <w:r>
        <w:rPr>
          <w:rStyle w:val="Refdenotaalfinal"/>
        </w:rPr>
        <w:endnoteRef/>
      </w:r>
      <w:r>
        <w:t xml:space="preserve"> Ibid. (pg. 36)</w:t>
      </w:r>
    </w:p>
  </w:endnote>
  <w:endnote w:id="33">
    <w:p w14:paraId="5A086C32" w14:textId="77777777" w:rsidR="007873AB" w:rsidRDefault="007873AB" w:rsidP="007873AB">
      <w:pPr>
        <w:pStyle w:val="Textonotaalfinal"/>
      </w:pPr>
      <w:r>
        <w:rPr>
          <w:rStyle w:val="Refdenotaalfinal"/>
        </w:rPr>
        <w:endnoteRef/>
      </w:r>
      <w:r>
        <w:t xml:space="preserve"> Ibid. (pg. 40)</w:t>
      </w:r>
    </w:p>
  </w:endnote>
  <w:endnote w:id="34">
    <w:p w14:paraId="102B9BF3" w14:textId="77777777" w:rsidR="007873AB" w:rsidRDefault="007873AB" w:rsidP="007873AB">
      <w:pPr>
        <w:pStyle w:val="Textonotaalfinal"/>
      </w:pPr>
      <w:r>
        <w:rPr>
          <w:rStyle w:val="Refdenotaalfinal"/>
        </w:rPr>
        <w:endnoteRef/>
      </w:r>
      <w:r>
        <w:t xml:space="preserve"> Ibid. </w:t>
      </w:r>
    </w:p>
  </w:endnote>
  <w:endnote w:id="35">
    <w:p w14:paraId="740A6E53" w14:textId="77777777" w:rsidR="007873AB" w:rsidRDefault="007873AB" w:rsidP="007873AB">
      <w:pPr>
        <w:pStyle w:val="Textonotaalfinal"/>
      </w:pPr>
      <w:r>
        <w:rPr>
          <w:rStyle w:val="Refdenotaalfinal"/>
        </w:rPr>
        <w:endnoteRef/>
      </w:r>
      <w:r>
        <w:t xml:space="preserve"> Ibid. (pg. 43)</w:t>
      </w:r>
    </w:p>
  </w:endnote>
  <w:endnote w:id="36">
    <w:p w14:paraId="4F375712" w14:textId="77777777" w:rsidR="007873AB" w:rsidRDefault="007873AB" w:rsidP="007873AB">
      <w:pPr>
        <w:pStyle w:val="Textonotaalfinal"/>
      </w:pPr>
      <w:r>
        <w:rPr>
          <w:rStyle w:val="Refdenotaalfinal"/>
        </w:rPr>
        <w:endnoteRef/>
      </w:r>
      <w:r>
        <w:t xml:space="preserve"> Ibid.</w:t>
      </w:r>
    </w:p>
  </w:endnote>
  <w:endnote w:id="37">
    <w:p w14:paraId="19141D31" w14:textId="77777777" w:rsidR="007873AB" w:rsidRDefault="007873AB" w:rsidP="007873AB">
      <w:pPr>
        <w:pStyle w:val="Textonotaalfinal"/>
      </w:pPr>
      <w:r>
        <w:rPr>
          <w:rStyle w:val="Refdenotaalfinal"/>
        </w:rPr>
        <w:endnoteRef/>
      </w:r>
      <w:r>
        <w:t xml:space="preserve"> Ibid.</w:t>
      </w:r>
    </w:p>
  </w:endnote>
  <w:endnote w:id="38">
    <w:p w14:paraId="33B09780" w14:textId="77777777" w:rsidR="007873AB" w:rsidRDefault="007873AB" w:rsidP="007873AB">
      <w:pPr>
        <w:pStyle w:val="Textonotaalfinal"/>
      </w:pPr>
      <w:r>
        <w:rPr>
          <w:rStyle w:val="Refdenotaalfinal"/>
        </w:rPr>
        <w:endnoteRef/>
      </w:r>
      <w:r>
        <w:t xml:space="preserve"> Ibid. (pg. 114)</w:t>
      </w:r>
    </w:p>
  </w:endnote>
  <w:endnote w:id="39">
    <w:p w14:paraId="18B0D3E8" w14:textId="77777777" w:rsidR="007873AB" w:rsidRDefault="007873AB" w:rsidP="007873AB">
      <w:pPr>
        <w:pStyle w:val="Textonotaalfinal"/>
      </w:pPr>
      <w:r>
        <w:rPr>
          <w:rStyle w:val="Refdenotaalfinal"/>
        </w:rPr>
        <w:endnoteRef/>
      </w:r>
      <w:r>
        <w:t xml:space="preserve"> Ibid. (pg. 44)</w:t>
      </w:r>
    </w:p>
  </w:endnote>
  <w:endnote w:id="40">
    <w:p w14:paraId="52BE2CEB" w14:textId="77777777" w:rsidR="007873AB" w:rsidRDefault="007873AB" w:rsidP="007873AB">
      <w:pPr>
        <w:pStyle w:val="Textonotaalfinal"/>
      </w:pPr>
      <w:r>
        <w:rPr>
          <w:rStyle w:val="Refdenotaalfinal"/>
        </w:rPr>
        <w:endnoteRef/>
      </w:r>
      <w:r>
        <w:t xml:space="preserve"> al ‘Arabi, Ibn. </w:t>
      </w:r>
      <w:r>
        <w:rPr>
          <w:u w:val="single"/>
        </w:rPr>
        <w:t>Journey to the Lord of Power.</w:t>
      </w:r>
      <w:r>
        <w:t xml:space="preserve"> (pg. 48)</w:t>
      </w:r>
    </w:p>
  </w:endnote>
  <w:endnote w:id="41">
    <w:p w14:paraId="64CE11B4" w14:textId="77777777" w:rsidR="007873AB" w:rsidRDefault="007873AB" w:rsidP="007873AB">
      <w:pPr>
        <w:pStyle w:val="Textonotaalfinal"/>
      </w:pPr>
      <w:r>
        <w:rPr>
          <w:rStyle w:val="Refdenotaalfinal"/>
        </w:rPr>
        <w:endnoteRef/>
      </w:r>
      <w:r>
        <w:t xml:space="preserve"> Ibid. (pg. 52)</w:t>
      </w:r>
    </w:p>
  </w:endnote>
  <w:endnote w:id="42">
    <w:p w14:paraId="508A1A87" w14:textId="77777777" w:rsidR="007873AB" w:rsidRDefault="007873AB" w:rsidP="007873AB">
      <w:pPr>
        <w:pStyle w:val="Textonotaalfinal"/>
      </w:pPr>
      <w:r>
        <w:rPr>
          <w:rStyle w:val="Refdenotaalfinal"/>
        </w:rPr>
        <w:endnoteRef/>
      </w:r>
      <w:r>
        <w:t xml:space="preserve"> </w:t>
      </w:r>
    </w:p>
  </w:endnote>
  <w:endnote w:id="43">
    <w:p w14:paraId="5D289BB6" w14:textId="77777777" w:rsidR="007873AB" w:rsidRDefault="007873AB" w:rsidP="007873AB">
      <w:pPr>
        <w:pStyle w:val="Textonotaalfinal"/>
      </w:pPr>
      <w:r>
        <w:rPr>
          <w:rStyle w:val="Refdenotaalfinal"/>
        </w:rPr>
        <w:endnoteRef/>
      </w:r>
      <w:r>
        <w:t xml:space="preserve"> </w:t>
      </w:r>
    </w:p>
  </w:endnote>
  <w:endnote w:id="44">
    <w:p w14:paraId="79EA79D1" w14:textId="77777777" w:rsidR="007873AB" w:rsidRDefault="007873AB" w:rsidP="007873AB">
      <w:pPr>
        <w:pStyle w:val="Textonotaalfinal"/>
      </w:pPr>
      <w:r>
        <w:rPr>
          <w:rStyle w:val="Refdenotaalfinal"/>
        </w:rPr>
        <w:endnoteRef/>
      </w:r>
      <w:r>
        <w:t xml:space="preserve"> </w:t>
      </w:r>
    </w:p>
  </w:endnote>
  <w:endnote w:id="45">
    <w:p w14:paraId="33504BED" w14:textId="77777777" w:rsidR="007873AB" w:rsidRDefault="007873AB" w:rsidP="007873AB">
      <w:pPr>
        <w:pStyle w:val="Textonotaalfinal"/>
      </w:pPr>
      <w:r>
        <w:rPr>
          <w:rStyle w:val="Refdenotaalfinal"/>
        </w:rPr>
        <w:endnoteRef/>
      </w:r>
      <w:r>
        <w:t xml:space="preserve"> Heraclitus. </w:t>
      </w:r>
      <w:r>
        <w:rPr>
          <w:u w:val="single"/>
        </w:rPr>
        <w:t>Heraclitus.</w:t>
      </w:r>
      <w:r>
        <w:t xml:space="preserve"> Trans Dennis Sweet. New York: University Press of America. 1995 (pg. 31)</w:t>
      </w:r>
    </w:p>
  </w:endnote>
  <w:endnote w:id="46">
    <w:p w14:paraId="2A7D8676" w14:textId="77777777" w:rsidR="007873AB" w:rsidRDefault="007873AB" w:rsidP="007873AB">
      <w:pPr>
        <w:pStyle w:val="Textonotaalfinal"/>
      </w:pPr>
      <w:r>
        <w:rPr>
          <w:rStyle w:val="Refdenotaalfinal"/>
        </w:rPr>
        <w:endnoteRef/>
      </w:r>
      <w:r>
        <w:t xml:space="preserve"> Chodkiewicz, Michael. An Ocean without a Shore. State U of NY. New York: 1993 (pg. 1)</w:t>
      </w:r>
    </w:p>
  </w:endnote>
  <w:endnote w:id="47">
    <w:p w14:paraId="2C9C1BA9" w14:textId="77777777" w:rsidR="007873AB" w:rsidRDefault="007873AB" w:rsidP="007873AB">
      <w:pPr>
        <w:pStyle w:val="Textonotaalfinal"/>
      </w:pPr>
      <w:r>
        <w:rPr>
          <w:rStyle w:val="Refdenotaalfinal"/>
        </w:rPr>
        <w:endnoteRef/>
      </w:r>
      <w:r>
        <w:t xml:space="preserve"> Osho, “Ah This.” Osho Ashram. Pune, 6 January, 1980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FC87F1" w14:textId="77777777" w:rsidR="00F10D7F" w:rsidRDefault="007873AB">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AF805FC" w14:textId="77777777" w:rsidR="00F10D7F" w:rsidRDefault="005517F2">
    <w:pPr>
      <w:pStyle w:val="Piedep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21C24" w14:textId="77777777" w:rsidR="00F10D7F" w:rsidRDefault="007873AB">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517F2">
      <w:rPr>
        <w:rStyle w:val="Nmerodepgina"/>
        <w:noProof/>
      </w:rPr>
      <w:t>1</w:t>
    </w:r>
    <w:r>
      <w:rPr>
        <w:rStyle w:val="Nmerodepgina"/>
      </w:rPr>
      <w:fldChar w:fldCharType="end"/>
    </w:r>
  </w:p>
  <w:p w14:paraId="559E7149" w14:textId="77777777" w:rsidR="00F10D7F" w:rsidRDefault="005517F2">
    <w:pPr>
      <w:pStyle w:val="Piedep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2B73C0" w14:textId="77777777" w:rsidR="007873AB" w:rsidRDefault="007873AB" w:rsidP="007873AB">
      <w:r>
        <w:separator/>
      </w:r>
    </w:p>
  </w:footnote>
  <w:footnote w:type="continuationSeparator" w:id="0">
    <w:p w14:paraId="68DB4350" w14:textId="77777777" w:rsidR="007873AB" w:rsidRDefault="007873AB" w:rsidP="007873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3AB"/>
    <w:rsid w:val="00045D4A"/>
    <w:rsid w:val="005517F2"/>
    <w:rsid w:val="007873AB"/>
    <w:rsid w:val="00793A97"/>
    <w:rsid w:val="00A459C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899BF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3AB"/>
    <w:rPr>
      <w:rFonts w:ascii="Times New Roman" w:eastAsia="Times New Roman" w:hAnsi="Times New Roman" w:cs="Times New Roman"/>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rsid w:val="007873AB"/>
    <w:rPr>
      <w:sz w:val="20"/>
    </w:rPr>
  </w:style>
  <w:style w:type="character" w:customStyle="1" w:styleId="TextonotaalfinalCar">
    <w:name w:val="Texto nota al final Car"/>
    <w:basedOn w:val="Fuentedeprrafopredeter"/>
    <w:link w:val="Textonotaalfinal"/>
    <w:rsid w:val="007873AB"/>
    <w:rPr>
      <w:rFonts w:ascii="Times New Roman" w:eastAsia="Times New Roman" w:hAnsi="Times New Roman" w:cs="Times New Roman"/>
      <w:sz w:val="20"/>
      <w:szCs w:val="20"/>
      <w:lang w:val="en-US" w:eastAsia="en-US"/>
    </w:rPr>
  </w:style>
  <w:style w:type="character" w:styleId="Refdenotaalfinal">
    <w:name w:val="endnote reference"/>
    <w:basedOn w:val="Fuentedeprrafopredeter"/>
    <w:rsid w:val="007873AB"/>
    <w:rPr>
      <w:vertAlign w:val="superscript"/>
    </w:rPr>
  </w:style>
  <w:style w:type="paragraph" w:styleId="Piedepgina">
    <w:name w:val="footer"/>
    <w:basedOn w:val="Normal"/>
    <w:link w:val="PiedepginaCar"/>
    <w:rsid w:val="007873AB"/>
    <w:pPr>
      <w:tabs>
        <w:tab w:val="center" w:pos="4320"/>
        <w:tab w:val="right" w:pos="8640"/>
      </w:tabs>
    </w:pPr>
  </w:style>
  <w:style w:type="character" w:customStyle="1" w:styleId="PiedepginaCar">
    <w:name w:val="Pie de página Car"/>
    <w:basedOn w:val="Fuentedeprrafopredeter"/>
    <w:link w:val="Piedepgina"/>
    <w:rsid w:val="007873AB"/>
    <w:rPr>
      <w:rFonts w:ascii="Times New Roman" w:eastAsia="Times New Roman" w:hAnsi="Times New Roman" w:cs="Times New Roman"/>
      <w:szCs w:val="20"/>
      <w:lang w:val="en-US" w:eastAsia="en-US"/>
    </w:rPr>
  </w:style>
  <w:style w:type="character" w:styleId="Nmerodepgina">
    <w:name w:val="page number"/>
    <w:basedOn w:val="Fuentedeprrafopredeter"/>
    <w:rsid w:val="007873A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3AB"/>
    <w:rPr>
      <w:rFonts w:ascii="Times New Roman" w:eastAsia="Times New Roman" w:hAnsi="Times New Roman" w:cs="Times New Roman"/>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rsid w:val="007873AB"/>
    <w:rPr>
      <w:sz w:val="20"/>
    </w:rPr>
  </w:style>
  <w:style w:type="character" w:customStyle="1" w:styleId="TextonotaalfinalCar">
    <w:name w:val="Texto nota al final Car"/>
    <w:basedOn w:val="Fuentedeprrafopredeter"/>
    <w:link w:val="Textonotaalfinal"/>
    <w:rsid w:val="007873AB"/>
    <w:rPr>
      <w:rFonts w:ascii="Times New Roman" w:eastAsia="Times New Roman" w:hAnsi="Times New Roman" w:cs="Times New Roman"/>
      <w:sz w:val="20"/>
      <w:szCs w:val="20"/>
      <w:lang w:val="en-US" w:eastAsia="en-US"/>
    </w:rPr>
  </w:style>
  <w:style w:type="character" w:styleId="Refdenotaalfinal">
    <w:name w:val="endnote reference"/>
    <w:basedOn w:val="Fuentedeprrafopredeter"/>
    <w:rsid w:val="007873AB"/>
    <w:rPr>
      <w:vertAlign w:val="superscript"/>
    </w:rPr>
  </w:style>
  <w:style w:type="paragraph" w:styleId="Piedepgina">
    <w:name w:val="footer"/>
    <w:basedOn w:val="Normal"/>
    <w:link w:val="PiedepginaCar"/>
    <w:rsid w:val="007873AB"/>
    <w:pPr>
      <w:tabs>
        <w:tab w:val="center" w:pos="4320"/>
        <w:tab w:val="right" w:pos="8640"/>
      </w:tabs>
    </w:pPr>
  </w:style>
  <w:style w:type="character" w:customStyle="1" w:styleId="PiedepginaCar">
    <w:name w:val="Pie de página Car"/>
    <w:basedOn w:val="Fuentedeprrafopredeter"/>
    <w:link w:val="Piedepgina"/>
    <w:rsid w:val="007873AB"/>
    <w:rPr>
      <w:rFonts w:ascii="Times New Roman" w:eastAsia="Times New Roman" w:hAnsi="Times New Roman" w:cs="Times New Roman"/>
      <w:szCs w:val="20"/>
      <w:lang w:val="en-US" w:eastAsia="en-US"/>
    </w:rPr>
  </w:style>
  <w:style w:type="character" w:styleId="Nmerodepgina">
    <w:name w:val="page number"/>
    <w:basedOn w:val="Fuentedeprrafopredeter"/>
    <w:rsid w:val="00787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4908</Words>
  <Characters>26996</Characters>
  <Application>Microsoft Macintosh Word</Application>
  <DocSecurity>0</DocSecurity>
  <Lines>224</Lines>
  <Paragraphs>63</Paragraphs>
  <ScaleCrop>false</ScaleCrop>
  <Company>Personal</Company>
  <LinksUpToDate>false</LinksUpToDate>
  <CharactersWithSpaces>31841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Palocz</dc:creator>
  <cp:keywords/>
  <dc:description/>
  <cp:lastModifiedBy>Christian Palocz</cp:lastModifiedBy>
  <cp:revision>3</cp:revision>
  <dcterms:created xsi:type="dcterms:W3CDTF">2014-08-06T18:52:00Z</dcterms:created>
  <dcterms:modified xsi:type="dcterms:W3CDTF">2015-01-19T01:24:00Z</dcterms:modified>
</cp:coreProperties>
</file>